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5A7FFA" w14:textId="38889647" w:rsidR="00294049" w:rsidRPr="004A518D" w:rsidRDefault="007A0950" w:rsidP="004A518D">
      <w:pPr>
        <w:jc w:val="center"/>
        <w:rPr>
          <w:rFonts w:ascii="Articulate Narrow" w:eastAsia="+mn-ea" w:hAnsi="Articulate Narrow" w:cstheme="minorHAnsi"/>
          <w:b/>
          <w:bCs/>
          <w:noProof/>
          <w:kern w:val="24"/>
          <w:sz w:val="48"/>
          <w:szCs w:val="48"/>
        </w:rPr>
      </w:pPr>
      <w:r>
        <w:rPr>
          <w:rFonts w:ascii="Articulate Narrow" w:eastAsia="+mn-ea" w:hAnsi="Articulate Narrow" w:cstheme="minorHAnsi"/>
          <w:b/>
          <w:bCs/>
          <w:noProof/>
          <w:kern w:val="24"/>
          <w:sz w:val="48"/>
          <w:szCs w:val="48"/>
        </w:rPr>
        <w:t>Mod301</w:t>
      </w:r>
      <w:r w:rsidR="000A3C86">
        <w:rPr>
          <w:rFonts w:ascii="Articulate Narrow" w:eastAsia="+mn-ea" w:hAnsi="Articulate Narrow" w:cstheme="minorHAnsi"/>
          <w:b/>
          <w:bCs/>
          <w:noProof/>
          <w:kern w:val="24"/>
          <w:sz w:val="48"/>
          <w:szCs w:val="48"/>
        </w:rPr>
        <w:t xml:space="preserve"> </w:t>
      </w:r>
      <w:r w:rsidR="00D62A50">
        <w:rPr>
          <w:rFonts w:ascii="Articulate Narrow" w:eastAsia="+mn-ea" w:hAnsi="Articulate Narrow" w:cstheme="minorHAnsi"/>
          <w:b/>
          <w:bCs/>
          <w:noProof/>
          <w:kern w:val="24"/>
          <w:sz w:val="48"/>
          <w:szCs w:val="48"/>
        </w:rPr>
        <w:t>–</w:t>
      </w:r>
      <w:r w:rsidR="00ED493B" w:rsidRPr="004A518D">
        <w:rPr>
          <w:rFonts w:ascii="Articulate Narrow" w:eastAsia="+mn-ea" w:hAnsi="Articulate Narrow" w:cstheme="minorHAnsi"/>
          <w:b/>
          <w:bCs/>
          <w:noProof/>
          <w:kern w:val="24"/>
          <w:sz w:val="48"/>
          <w:szCs w:val="48"/>
        </w:rPr>
        <w:t xml:space="preserve"> </w:t>
      </w:r>
      <w:r w:rsidR="00D62A50">
        <w:rPr>
          <w:rFonts w:ascii="Articulate Narrow" w:eastAsia="+mn-ea" w:hAnsi="Articulate Narrow" w:cstheme="minorHAnsi"/>
          <w:b/>
          <w:bCs/>
          <w:noProof/>
          <w:kern w:val="24"/>
          <w:sz w:val="48"/>
          <w:szCs w:val="48"/>
        </w:rPr>
        <w:t xml:space="preserve">Master Glossary &amp; </w:t>
      </w:r>
      <w:r w:rsidR="00074842" w:rsidRPr="004A518D">
        <w:rPr>
          <w:rFonts w:ascii="Articulate Narrow" w:eastAsia="+mn-ea" w:hAnsi="Articulate Narrow" w:cstheme="minorHAnsi"/>
          <w:b/>
          <w:bCs/>
          <w:noProof/>
          <w:kern w:val="24"/>
          <w:sz w:val="48"/>
          <w:szCs w:val="48"/>
        </w:rPr>
        <w:t xml:space="preserve">Commonly Used </w:t>
      </w:r>
      <w:r w:rsidR="00ED493B" w:rsidRPr="004A518D">
        <w:rPr>
          <w:rFonts w:ascii="Articulate Narrow" w:eastAsia="+mn-ea" w:hAnsi="Articulate Narrow" w:cstheme="minorHAnsi"/>
          <w:b/>
          <w:bCs/>
          <w:noProof/>
          <w:kern w:val="24"/>
          <w:sz w:val="48"/>
          <w:szCs w:val="48"/>
        </w:rPr>
        <w:t>Acronym</w:t>
      </w:r>
      <w:r w:rsidR="00D62E30">
        <w:rPr>
          <w:rFonts w:ascii="Articulate Narrow" w:eastAsia="+mn-ea" w:hAnsi="Articulate Narrow" w:cstheme="minorHAnsi"/>
          <w:b/>
          <w:bCs/>
          <w:noProof/>
          <w:kern w:val="24"/>
          <w:sz w:val="48"/>
          <w:szCs w:val="48"/>
        </w:rPr>
        <w:t>s</w:t>
      </w:r>
      <w:r w:rsidR="00ED493B" w:rsidRPr="004A518D">
        <w:rPr>
          <w:rFonts w:ascii="Articulate Narrow" w:eastAsia="+mn-ea" w:hAnsi="Articulate Narrow" w:cstheme="minorHAnsi"/>
          <w:b/>
          <w:bCs/>
          <w:noProof/>
          <w:kern w:val="24"/>
          <w:sz w:val="48"/>
          <w:szCs w:val="48"/>
        </w:rPr>
        <w:t xml:space="preserve"> </w:t>
      </w:r>
    </w:p>
    <w:tbl>
      <w:tblPr>
        <w:tblStyle w:val="TableGrid"/>
        <w:tblW w:w="1079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Look w:val="04A0" w:firstRow="1" w:lastRow="0" w:firstColumn="1" w:lastColumn="0" w:noHBand="0" w:noVBand="1"/>
      </w:tblPr>
      <w:tblGrid>
        <w:gridCol w:w="10790"/>
      </w:tblGrid>
      <w:tr w:rsidR="00ED493B" w:rsidRPr="00D64245" w14:paraId="704CA452" w14:textId="77777777" w:rsidTr="00A72E5C">
        <w:trPr>
          <w:trHeight w:val="539"/>
        </w:trPr>
        <w:tc>
          <w:tcPr>
            <w:tcW w:w="10790" w:type="dxa"/>
            <w:shd w:val="clear" w:color="auto" w:fill="E4F3E1"/>
            <w:vAlign w:val="center"/>
          </w:tcPr>
          <w:p w14:paraId="548E407B" w14:textId="49B75F7E" w:rsidR="00ED493B" w:rsidRPr="00D64245" w:rsidRDefault="00ED493B" w:rsidP="000F5C94">
            <w:pPr>
              <w:spacing w:before="100" w:beforeAutospacing="1" w:after="100" w:afterAutospacing="1" w:line="276" w:lineRule="auto"/>
              <w:rPr>
                <w:rFonts w:ascii="Arial Narrow" w:eastAsia="+mn-ea" w:hAnsi="Arial Narrow" w:cstheme="minorHAnsi"/>
                <w:b/>
                <w:bCs/>
                <w:noProof/>
                <w:color w:val="000000"/>
                <w:kern w:val="24"/>
                <w:sz w:val="28"/>
                <w:szCs w:val="28"/>
              </w:rPr>
            </w:pPr>
            <w:r w:rsidRPr="00ED493B">
              <w:rPr>
                <w:rFonts w:ascii="Arial Narrow" w:hAnsi="Arial Narrow"/>
                <w:b/>
                <w:sz w:val="32"/>
                <w:szCs w:val="32"/>
              </w:rPr>
              <w:t>A</w:t>
            </w:r>
          </w:p>
        </w:tc>
      </w:tr>
      <w:tr w:rsidR="00ED493B" w:rsidRPr="00D64245" w14:paraId="6D8A8E00" w14:textId="77777777" w:rsidTr="00A72E5C">
        <w:tc>
          <w:tcPr>
            <w:tcW w:w="10790" w:type="dxa"/>
            <w:shd w:val="clear" w:color="auto" w:fill="auto"/>
          </w:tcPr>
          <w:p w14:paraId="490C078D" w14:textId="5BD107F2" w:rsidR="00ED493B" w:rsidRPr="00830BEE" w:rsidRDefault="00ED493B" w:rsidP="000F5C94">
            <w:pPr>
              <w:spacing w:line="276" w:lineRule="auto"/>
              <w:rPr>
                <w:sz w:val="24"/>
                <w:szCs w:val="24"/>
              </w:rPr>
            </w:pPr>
            <w:r w:rsidRPr="000A3C86">
              <w:rPr>
                <w:b/>
              </w:rPr>
              <w:t>A</w:t>
            </w:r>
            <w:r w:rsidR="00830BEE">
              <w:rPr>
                <w:b/>
              </w:rPr>
              <w:t>BL</w:t>
            </w:r>
            <w:r>
              <w:t xml:space="preserve"> – </w:t>
            </w:r>
            <w:r w:rsidR="004613D9">
              <w:t>A</w:t>
            </w:r>
            <w:r w:rsidR="00830BEE">
              <w:t xml:space="preserve">tmospheric Boundary Layer </w:t>
            </w:r>
            <w:r w:rsidR="00830BEE" w:rsidRPr="00B617E6">
              <w:rPr>
                <w:sz w:val="24"/>
                <w:szCs w:val="24"/>
              </w:rPr>
              <w:t>(ABL, also referred to as the Planetary Boundary Layer).  The layer of the atmosphere that is significantly influenced by the characteristics of the surface.</w:t>
            </w:r>
          </w:p>
        </w:tc>
      </w:tr>
      <w:tr w:rsidR="00D62A50" w:rsidRPr="00D64245" w14:paraId="1EF848AA" w14:textId="77777777" w:rsidTr="00A72E5C">
        <w:tc>
          <w:tcPr>
            <w:tcW w:w="10790" w:type="dxa"/>
            <w:shd w:val="clear" w:color="auto" w:fill="auto"/>
          </w:tcPr>
          <w:p w14:paraId="53C746E9" w14:textId="36A72495" w:rsidR="00D62A50" w:rsidRPr="000D3B81" w:rsidRDefault="00830BEE" w:rsidP="000F5C94">
            <w:pPr>
              <w:spacing w:before="100" w:beforeAutospacing="1" w:after="100" w:afterAutospacing="1" w:line="276" w:lineRule="auto"/>
            </w:pPr>
            <w:r>
              <w:rPr>
                <w:b/>
              </w:rPr>
              <w:t>AER</w:t>
            </w:r>
            <w:r w:rsidR="000D3B81">
              <w:rPr>
                <w:b/>
              </w:rPr>
              <w:t xml:space="preserve">MAP </w:t>
            </w:r>
            <w:r w:rsidR="000D3B81">
              <w:t xml:space="preserve">– </w:t>
            </w:r>
            <w:r w:rsidR="0057361F">
              <w:t>T</w:t>
            </w:r>
            <w:r w:rsidR="0057361F" w:rsidRPr="00B617E6">
              <w:rPr>
                <w:sz w:val="24"/>
                <w:szCs w:val="24"/>
              </w:rPr>
              <w:t>errain preprocessor for AERMOD</w:t>
            </w:r>
          </w:p>
        </w:tc>
      </w:tr>
      <w:tr w:rsidR="0057361F" w:rsidRPr="00D64245" w14:paraId="5439B11C" w14:textId="77777777" w:rsidTr="00A72E5C">
        <w:tc>
          <w:tcPr>
            <w:tcW w:w="10790" w:type="dxa"/>
            <w:shd w:val="clear" w:color="auto" w:fill="auto"/>
          </w:tcPr>
          <w:p w14:paraId="56173ADA" w14:textId="5AB831FE" w:rsidR="0057361F" w:rsidRPr="0057361F" w:rsidRDefault="0057361F" w:rsidP="000F5C94">
            <w:pPr>
              <w:spacing w:before="100" w:beforeAutospacing="1" w:after="100" w:afterAutospacing="1" w:line="276" w:lineRule="auto"/>
            </w:pPr>
            <w:r>
              <w:rPr>
                <w:b/>
              </w:rPr>
              <w:t xml:space="preserve">AERMET </w:t>
            </w:r>
            <w:r>
              <w:t>– Meteorological data processor for AERMOD</w:t>
            </w:r>
          </w:p>
        </w:tc>
      </w:tr>
      <w:tr w:rsidR="0057361F" w:rsidRPr="00D64245" w14:paraId="69E2C620" w14:textId="77777777" w:rsidTr="00A72E5C">
        <w:tc>
          <w:tcPr>
            <w:tcW w:w="10790" w:type="dxa"/>
            <w:shd w:val="clear" w:color="auto" w:fill="auto"/>
          </w:tcPr>
          <w:p w14:paraId="50A1CA82" w14:textId="08DE5143" w:rsidR="0057361F" w:rsidRPr="0057361F" w:rsidRDefault="0057361F" w:rsidP="000F5C94">
            <w:pPr>
              <w:spacing w:before="100" w:beforeAutospacing="1" w:after="100" w:afterAutospacing="1" w:line="276" w:lineRule="auto"/>
            </w:pPr>
            <w:r>
              <w:rPr>
                <w:b/>
              </w:rPr>
              <w:t xml:space="preserve">AERMINUTE </w:t>
            </w:r>
            <w:r>
              <w:t xml:space="preserve">- </w:t>
            </w:r>
            <w:r w:rsidRPr="00B617E6">
              <w:rPr>
                <w:sz w:val="24"/>
                <w:szCs w:val="24"/>
              </w:rPr>
              <w:t xml:space="preserve">ASOS one-minute meteorological preprocessor for </w:t>
            </w:r>
            <w:r w:rsidR="009D1E08" w:rsidRPr="00B617E6">
              <w:rPr>
                <w:sz w:val="24"/>
                <w:szCs w:val="24"/>
              </w:rPr>
              <w:t>AER</w:t>
            </w:r>
            <w:r w:rsidR="009D1E08">
              <w:rPr>
                <w:sz w:val="24"/>
                <w:szCs w:val="24"/>
              </w:rPr>
              <w:t>MET</w:t>
            </w:r>
            <w:r w:rsidR="00FC51C4">
              <w:rPr>
                <w:sz w:val="24"/>
                <w:szCs w:val="24"/>
              </w:rPr>
              <w:t xml:space="preserve">. </w:t>
            </w:r>
            <w:r w:rsidR="009D1E08" w:rsidRPr="009D1E08">
              <w:rPr>
                <w:rFonts w:ascii="Source Sans Pro" w:hAnsi="Source Sans Pro"/>
                <w:color w:val="212121"/>
                <w:sz w:val="26"/>
                <w:szCs w:val="26"/>
                <w:shd w:val="clear" w:color="auto" w:fill="FFFFFF"/>
              </w:rPr>
              <w:t xml:space="preserve"> </w:t>
            </w:r>
            <w:r w:rsidR="009D1E08" w:rsidRPr="009D1E08">
              <w:rPr>
                <w:sz w:val="24"/>
                <w:szCs w:val="24"/>
              </w:rPr>
              <w:t>AERMINUTE processes 1-minute ASOS wind data to generate hourly average winds for input to AERMET in Stage 2</w:t>
            </w:r>
          </w:p>
        </w:tc>
      </w:tr>
      <w:tr w:rsidR="00366334" w:rsidRPr="00D64245" w14:paraId="52E18CAF" w14:textId="77777777" w:rsidTr="00A72E5C">
        <w:tc>
          <w:tcPr>
            <w:tcW w:w="10790" w:type="dxa"/>
            <w:shd w:val="clear" w:color="auto" w:fill="auto"/>
          </w:tcPr>
          <w:p w14:paraId="625ADD1D" w14:textId="3CEF391C" w:rsidR="00366334" w:rsidRPr="00366334" w:rsidRDefault="00366334" w:rsidP="000F5C94">
            <w:pPr>
              <w:spacing w:before="100" w:beforeAutospacing="1" w:after="100" w:afterAutospacing="1" w:line="276" w:lineRule="auto"/>
            </w:pPr>
            <w:r>
              <w:rPr>
                <w:b/>
              </w:rPr>
              <w:t xml:space="preserve">AERMOD </w:t>
            </w:r>
            <w:r>
              <w:t xml:space="preserve">- </w:t>
            </w:r>
            <w:r w:rsidRPr="00B617E6">
              <w:rPr>
                <w:sz w:val="24"/>
                <w:szCs w:val="24"/>
              </w:rPr>
              <w:t>Gaussian based dispersion model</w:t>
            </w:r>
            <w:r w:rsidR="00FC51C4">
              <w:rPr>
                <w:sz w:val="24"/>
                <w:szCs w:val="24"/>
              </w:rPr>
              <w:t>.</w:t>
            </w:r>
            <w:r>
              <w:rPr>
                <w:sz w:val="24"/>
                <w:szCs w:val="24"/>
              </w:rPr>
              <w:t xml:space="preserve"> </w:t>
            </w:r>
            <w:r w:rsidR="00FC51C4">
              <w:rPr>
                <w:sz w:val="24"/>
                <w:szCs w:val="24"/>
              </w:rPr>
              <w:t>T</w:t>
            </w:r>
            <w:r>
              <w:rPr>
                <w:sz w:val="24"/>
                <w:szCs w:val="24"/>
              </w:rPr>
              <w:t>he AMS/EPA Regulatory Model</w:t>
            </w:r>
            <w:r w:rsidR="00FC51C4">
              <w:rPr>
                <w:sz w:val="24"/>
                <w:szCs w:val="24"/>
              </w:rPr>
              <w:t>.</w:t>
            </w:r>
          </w:p>
        </w:tc>
      </w:tr>
      <w:tr w:rsidR="00366334" w:rsidRPr="00D64245" w14:paraId="539451B5" w14:textId="77777777" w:rsidTr="00A72E5C">
        <w:tc>
          <w:tcPr>
            <w:tcW w:w="10790" w:type="dxa"/>
            <w:shd w:val="clear" w:color="auto" w:fill="auto"/>
          </w:tcPr>
          <w:p w14:paraId="1AE80F01" w14:textId="638B68CB" w:rsidR="00366334" w:rsidRPr="00366334" w:rsidRDefault="00366334" w:rsidP="000F5C94">
            <w:pPr>
              <w:spacing w:before="100" w:beforeAutospacing="1" w:after="100" w:afterAutospacing="1" w:line="276" w:lineRule="auto"/>
            </w:pPr>
            <w:r>
              <w:rPr>
                <w:b/>
              </w:rPr>
              <w:t xml:space="preserve">AERSCREEN </w:t>
            </w:r>
            <w:r>
              <w:t>– Screening model for AERMOD</w:t>
            </w:r>
          </w:p>
        </w:tc>
      </w:tr>
      <w:tr w:rsidR="009D1E08" w:rsidRPr="00D64245" w14:paraId="583D7FA8" w14:textId="77777777" w:rsidTr="00A72E5C">
        <w:tc>
          <w:tcPr>
            <w:tcW w:w="10790" w:type="dxa"/>
            <w:shd w:val="clear" w:color="auto" w:fill="auto"/>
          </w:tcPr>
          <w:p w14:paraId="59F64838" w14:textId="6062E31E" w:rsidR="009D1E08" w:rsidRDefault="009D1E08" w:rsidP="000F5C94">
            <w:pPr>
              <w:spacing w:before="100" w:beforeAutospacing="1" w:after="100" w:afterAutospacing="1" w:line="276" w:lineRule="auto"/>
              <w:rPr>
                <w:b/>
              </w:rPr>
            </w:pPr>
            <w:r>
              <w:rPr>
                <w:b/>
              </w:rPr>
              <w:t xml:space="preserve">AERSURFACE </w:t>
            </w:r>
            <w:r w:rsidRPr="00364993">
              <w:rPr>
                <w:bCs/>
              </w:rPr>
              <w:t>– Surface characterization preprocessor for AERMOD.</w:t>
            </w:r>
          </w:p>
        </w:tc>
      </w:tr>
      <w:tr w:rsidR="00452A7E" w:rsidRPr="00D64245" w14:paraId="5E089146" w14:textId="77777777" w:rsidTr="00A72E5C">
        <w:tc>
          <w:tcPr>
            <w:tcW w:w="10790" w:type="dxa"/>
            <w:shd w:val="clear" w:color="auto" w:fill="auto"/>
          </w:tcPr>
          <w:p w14:paraId="0DFDD607" w14:textId="1BB5EF9D" w:rsidR="00452A7E" w:rsidRPr="00452A7E" w:rsidRDefault="00452A7E" w:rsidP="000F5C94">
            <w:pPr>
              <w:spacing w:before="100" w:beforeAutospacing="1" w:after="100" w:afterAutospacing="1" w:line="276" w:lineRule="auto"/>
            </w:pPr>
            <w:r>
              <w:rPr>
                <w:b/>
              </w:rPr>
              <w:t xml:space="preserve">Albedo </w:t>
            </w:r>
            <w:r>
              <w:t>– (</w:t>
            </w:r>
            <w:r>
              <w:rPr>
                <w:rFonts w:cstheme="minorHAnsi"/>
              </w:rPr>
              <w:t>α</w:t>
            </w:r>
            <w:r>
              <w:t>) The proportion of the incident light or radiation that is reflected by a surface, typically that of a planet or moon. Is the measure of the diffused reflection of solar radiation out of the total solar radiation and measured on a scale from 0, corresponding to a black body that absorbs all incident radiation, to 1, corresponding to a body that reflects all incident radiation.</w:t>
            </w:r>
          </w:p>
        </w:tc>
      </w:tr>
      <w:tr w:rsidR="00FC51C4" w:rsidRPr="00D64245" w14:paraId="5F937228" w14:textId="77777777" w:rsidTr="00A72E5C">
        <w:tc>
          <w:tcPr>
            <w:tcW w:w="10790" w:type="dxa"/>
            <w:shd w:val="clear" w:color="auto" w:fill="auto"/>
          </w:tcPr>
          <w:p w14:paraId="6C60FB3E" w14:textId="199D8764" w:rsidR="00FC51C4" w:rsidRPr="00FC51C4" w:rsidRDefault="00FC51C4" w:rsidP="000F5C94">
            <w:pPr>
              <w:spacing w:before="100" w:beforeAutospacing="1" w:after="100" w:afterAutospacing="1" w:line="276" w:lineRule="auto"/>
            </w:pPr>
            <w:r>
              <w:rPr>
                <w:b/>
              </w:rPr>
              <w:t xml:space="preserve">AMS </w:t>
            </w:r>
            <w:r>
              <w:t>– American Meteorological Society</w:t>
            </w:r>
          </w:p>
        </w:tc>
      </w:tr>
      <w:tr w:rsidR="004613D9" w:rsidRPr="00D64245" w14:paraId="3A05AD60" w14:textId="77777777" w:rsidTr="00A72E5C">
        <w:tc>
          <w:tcPr>
            <w:tcW w:w="10790" w:type="dxa"/>
            <w:shd w:val="clear" w:color="auto" w:fill="auto"/>
          </w:tcPr>
          <w:p w14:paraId="201E007E" w14:textId="38912431" w:rsidR="004613D9" w:rsidRDefault="004613D9" w:rsidP="000F5C94">
            <w:pPr>
              <w:spacing w:before="100" w:beforeAutospacing="1" w:after="100" w:afterAutospacing="1" w:line="276" w:lineRule="auto"/>
            </w:pPr>
            <w:r w:rsidRPr="000A3C86">
              <w:rPr>
                <w:b/>
              </w:rPr>
              <w:t>A</w:t>
            </w:r>
            <w:r w:rsidR="00FC51C4">
              <w:rPr>
                <w:b/>
              </w:rPr>
              <w:t>SOS</w:t>
            </w:r>
            <w:r w:rsidR="00FF0965">
              <w:t xml:space="preserve"> – </w:t>
            </w:r>
            <w:r w:rsidR="00FC51C4">
              <w:rPr>
                <w:sz w:val="24"/>
                <w:szCs w:val="24"/>
              </w:rPr>
              <w:t>Automated Surface Observation System (meteorological data)</w:t>
            </w:r>
          </w:p>
        </w:tc>
      </w:tr>
      <w:tr w:rsidR="004613D9" w:rsidRPr="00D64245" w14:paraId="0E4E3D61" w14:textId="77777777" w:rsidTr="00A72E5C">
        <w:tc>
          <w:tcPr>
            <w:tcW w:w="10790" w:type="dxa"/>
            <w:shd w:val="clear" w:color="auto" w:fill="auto"/>
          </w:tcPr>
          <w:p w14:paraId="6CE0FCC7" w14:textId="56832F63" w:rsidR="004613D9" w:rsidRDefault="004613D9" w:rsidP="000F5C94">
            <w:pPr>
              <w:spacing w:before="100" w:beforeAutospacing="1" w:after="100" w:afterAutospacing="1" w:line="276" w:lineRule="auto"/>
            </w:pPr>
            <w:r w:rsidRPr="000A3C86">
              <w:rPr>
                <w:b/>
              </w:rPr>
              <w:t>A</w:t>
            </w:r>
            <w:r w:rsidR="00974D58">
              <w:rPr>
                <w:b/>
              </w:rPr>
              <w:t xml:space="preserve">tmospheric </w:t>
            </w:r>
            <w:r w:rsidRPr="000A3C86">
              <w:rPr>
                <w:b/>
              </w:rPr>
              <w:t>S</w:t>
            </w:r>
            <w:r w:rsidR="00974D58">
              <w:rPr>
                <w:b/>
              </w:rPr>
              <w:t>tability</w:t>
            </w:r>
            <w:r>
              <w:t xml:space="preserve"> – </w:t>
            </w:r>
            <w:r w:rsidR="00974D58" w:rsidRPr="00B617E6">
              <w:rPr>
                <w:sz w:val="24"/>
                <w:szCs w:val="24"/>
              </w:rPr>
              <w:t>Characterization of the state of the atmosphere’s ability to enhance (convective conditions) or suppress (stable conditions)</w:t>
            </w:r>
            <w:r w:rsidR="005F7FDB">
              <w:rPr>
                <w:sz w:val="24"/>
                <w:szCs w:val="24"/>
              </w:rPr>
              <w:t xml:space="preserve"> turbulence generated by either </w:t>
            </w:r>
            <w:r w:rsidR="00974D58" w:rsidRPr="00B617E6">
              <w:rPr>
                <w:sz w:val="24"/>
                <w:szCs w:val="24"/>
              </w:rPr>
              <w:t xml:space="preserve">wind shear or buoyancy effects.  </w:t>
            </w:r>
          </w:p>
        </w:tc>
      </w:tr>
      <w:tr w:rsidR="00023EB5" w:rsidRPr="00D64245" w14:paraId="79E1DBFB" w14:textId="77777777" w:rsidTr="00A72E5C">
        <w:tc>
          <w:tcPr>
            <w:tcW w:w="10790" w:type="dxa"/>
            <w:shd w:val="clear" w:color="auto" w:fill="E2EFD9" w:themeFill="accent6" w:themeFillTint="33"/>
          </w:tcPr>
          <w:p w14:paraId="11B578A4" w14:textId="752989DB" w:rsidR="00023EB5" w:rsidRPr="005B5611" w:rsidRDefault="001D20FA" w:rsidP="000F5C94">
            <w:pPr>
              <w:spacing w:before="100" w:beforeAutospacing="1" w:after="100" w:afterAutospacing="1" w:line="276" w:lineRule="auto"/>
            </w:pPr>
            <w:r>
              <w:rPr>
                <w:rFonts w:ascii="Arial Narrow" w:hAnsi="Arial Narrow"/>
                <w:b/>
                <w:sz w:val="32"/>
                <w:szCs w:val="32"/>
              </w:rPr>
              <w:t>B</w:t>
            </w:r>
          </w:p>
        </w:tc>
      </w:tr>
      <w:tr w:rsidR="00023EB5" w:rsidRPr="00D64245" w14:paraId="57941E5D" w14:textId="77777777" w:rsidTr="00A72E5C">
        <w:tc>
          <w:tcPr>
            <w:tcW w:w="10790" w:type="dxa"/>
            <w:shd w:val="clear" w:color="auto" w:fill="auto"/>
          </w:tcPr>
          <w:p w14:paraId="0C208B7E" w14:textId="7A157A85" w:rsidR="00023EB5" w:rsidRPr="005B5611" w:rsidRDefault="001D20FA" w:rsidP="000F5C94">
            <w:pPr>
              <w:spacing w:before="100" w:beforeAutospacing="1" w:line="276" w:lineRule="auto"/>
            </w:pPr>
            <w:r w:rsidRPr="00BB05C9">
              <w:rPr>
                <w:b/>
              </w:rPr>
              <w:t>B</w:t>
            </w:r>
            <w:r w:rsidR="006B2548" w:rsidRPr="006B2548">
              <w:rPr>
                <w:b/>
                <w:vertAlign w:val="subscript"/>
              </w:rPr>
              <w:t>o</w:t>
            </w:r>
            <w:r>
              <w:t xml:space="preserve"> – </w:t>
            </w:r>
            <w:r w:rsidR="006B2548">
              <w:t xml:space="preserve">Bowen Ratio is </w:t>
            </w:r>
            <w:r w:rsidR="006B2548" w:rsidRPr="00B617E6">
              <w:rPr>
                <w:sz w:val="24"/>
                <w:szCs w:val="24"/>
              </w:rPr>
              <w:t>the ratio of the sensible heat flux to the latent heat flux at the surface</w:t>
            </w:r>
            <w:r w:rsidR="006B2548">
              <w:rPr>
                <w:sz w:val="24"/>
                <w:szCs w:val="24"/>
              </w:rPr>
              <w:t xml:space="preserve"> </w:t>
            </w:r>
            <w:r w:rsidR="006B2548">
              <w:t>(B</w:t>
            </w:r>
            <w:r w:rsidR="006B2548" w:rsidRPr="006B2548">
              <w:rPr>
                <w:vertAlign w:val="subscript"/>
              </w:rPr>
              <w:t>o</w:t>
            </w:r>
            <w:r w:rsidR="006B2548">
              <w:t xml:space="preserve"> = H/L)</w:t>
            </w:r>
          </w:p>
        </w:tc>
      </w:tr>
      <w:tr w:rsidR="001D20FA" w:rsidRPr="00D64245" w14:paraId="5208FBE4" w14:textId="77777777" w:rsidTr="00A72E5C">
        <w:tc>
          <w:tcPr>
            <w:tcW w:w="10790" w:type="dxa"/>
            <w:shd w:val="clear" w:color="auto" w:fill="auto"/>
          </w:tcPr>
          <w:p w14:paraId="715E845E" w14:textId="1D9FCD3A" w:rsidR="001D20FA" w:rsidRDefault="001D20FA" w:rsidP="000F5C94">
            <w:pPr>
              <w:spacing w:before="100" w:beforeAutospacing="1" w:line="276" w:lineRule="auto"/>
            </w:pPr>
            <w:r w:rsidRPr="00BB05C9">
              <w:rPr>
                <w:b/>
              </w:rPr>
              <w:t>B</w:t>
            </w:r>
            <w:r w:rsidR="006B2548">
              <w:rPr>
                <w:b/>
              </w:rPr>
              <w:t>ID</w:t>
            </w:r>
            <w:r>
              <w:t xml:space="preserve"> – </w:t>
            </w:r>
            <w:r w:rsidR="002979DD">
              <w:t xml:space="preserve">Buoyancy Induced Dispersion. </w:t>
            </w:r>
            <w:r w:rsidR="002979DD" w:rsidRPr="00B617E6">
              <w:rPr>
                <w:sz w:val="24"/>
                <w:szCs w:val="24"/>
              </w:rPr>
              <w:t>Initial dispersion of a plume due to the temperature difference between the plume and the ambient air.</w:t>
            </w:r>
            <w:r w:rsidR="006B2548">
              <w:t xml:space="preserve"> </w:t>
            </w:r>
          </w:p>
        </w:tc>
      </w:tr>
      <w:tr w:rsidR="00BB05C9" w:rsidRPr="00D64245" w14:paraId="7A09F6F5" w14:textId="77777777" w:rsidTr="00A72E5C">
        <w:tc>
          <w:tcPr>
            <w:tcW w:w="10790" w:type="dxa"/>
            <w:shd w:val="clear" w:color="auto" w:fill="auto"/>
          </w:tcPr>
          <w:p w14:paraId="40B4FAE5" w14:textId="2C34BA46" w:rsidR="00BB05C9" w:rsidRDefault="00BB05C9" w:rsidP="000F5C94">
            <w:pPr>
              <w:spacing w:before="100" w:beforeAutospacing="1" w:line="276" w:lineRule="auto"/>
            </w:pPr>
            <w:r w:rsidRPr="00BB05C9">
              <w:rPr>
                <w:b/>
              </w:rPr>
              <w:t>B</w:t>
            </w:r>
            <w:r w:rsidR="002979DD">
              <w:rPr>
                <w:b/>
              </w:rPr>
              <w:t>PIPPRM</w:t>
            </w:r>
            <w:r>
              <w:t xml:space="preserve"> – </w:t>
            </w:r>
            <w:r w:rsidR="002979DD" w:rsidRPr="00B617E6">
              <w:rPr>
                <w:sz w:val="24"/>
                <w:szCs w:val="24"/>
              </w:rPr>
              <w:t>Building characterization preprocessor for AERMOD</w:t>
            </w:r>
            <w:r w:rsidR="002979DD">
              <w:t>. Building profile input program for PRIME is the building Pre-processor program that provides the effective building dimensions to AERMOD that accounts for the influence of a building on the flow and dispersion of the plume.</w:t>
            </w:r>
          </w:p>
        </w:tc>
      </w:tr>
      <w:tr w:rsidR="00576581" w:rsidRPr="00D64245" w14:paraId="5FDF272B" w14:textId="77777777" w:rsidTr="00A72E5C">
        <w:tc>
          <w:tcPr>
            <w:tcW w:w="10790" w:type="dxa"/>
            <w:shd w:val="clear" w:color="auto" w:fill="auto"/>
          </w:tcPr>
          <w:p w14:paraId="2627CC8E" w14:textId="66067B42" w:rsidR="00576581" w:rsidRPr="00576581" w:rsidRDefault="00576581" w:rsidP="00576581">
            <w:pPr>
              <w:spacing w:before="100" w:beforeAutospacing="1" w:line="276" w:lineRule="auto"/>
            </w:pPr>
            <w:r>
              <w:rPr>
                <w:b/>
              </w:rPr>
              <w:t xml:space="preserve">Building Downwash </w:t>
            </w:r>
            <w:r>
              <w:t xml:space="preserve">– Influence of the presence of a building or structure on the flow and turbulence and, thus, the dispersion of a plume in the vicinity. </w:t>
            </w:r>
          </w:p>
        </w:tc>
      </w:tr>
      <w:tr w:rsidR="003214F1" w:rsidRPr="00D64245" w14:paraId="3383015B" w14:textId="77777777" w:rsidTr="00A72E5C">
        <w:tc>
          <w:tcPr>
            <w:tcW w:w="10790" w:type="dxa"/>
            <w:shd w:val="clear" w:color="auto" w:fill="auto"/>
          </w:tcPr>
          <w:p w14:paraId="13761151" w14:textId="618CE708" w:rsidR="003214F1" w:rsidRPr="003214F1" w:rsidRDefault="003214F1" w:rsidP="000F5C94">
            <w:pPr>
              <w:spacing w:before="100" w:beforeAutospacing="1" w:line="276" w:lineRule="auto"/>
            </w:pPr>
            <w:r>
              <w:rPr>
                <w:b/>
              </w:rPr>
              <w:t xml:space="preserve">Bulk Richardson Number </w:t>
            </w:r>
            <w:r>
              <w:t>– (R</w:t>
            </w:r>
            <w:r w:rsidRPr="0029144F">
              <w:rPr>
                <w:vertAlign w:val="subscript"/>
              </w:rPr>
              <w:t>b</w:t>
            </w:r>
            <w:r>
              <w:t xml:space="preserve">) </w:t>
            </w:r>
            <w:r w:rsidR="00B00092" w:rsidRPr="00B00092">
              <w:rPr>
                <w:rFonts w:cstheme="minorHAnsi"/>
              </w:rPr>
              <w:t>Stability parameter proportional to the ratio of the buoyancy and the square of the wind shear</w:t>
            </w:r>
            <w:r w:rsidR="0029144F">
              <w:t>. Calculated from two levels of temperature and one level of wing.  Used to estimate the temperature scale when cloud cover is unavailable.</w:t>
            </w:r>
          </w:p>
        </w:tc>
      </w:tr>
      <w:tr w:rsidR="00ED493B" w:rsidRPr="00D64245" w14:paraId="4DA9B2BF" w14:textId="77777777" w:rsidTr="00A72E5C">
        <w:trPr>
          <w:trHeight w:val="413"/>
        </w:trPr>
        <w:tc>
          <w:tcPr>
            <w:tcW w:w="10790" w:type="dxa"/>
            <w:shd w:val="clear" w:color="auto" w:fill="E2EFD9" w:themeFill="accent6" w:themeFillTint="33"/>
          </w:tcPr>
          <w:p w14:paraId="5E787191" w14:textId="77F33689" w:rsidR="00FD64CE" w:rsidRPr="009864E7" w:rsidRDefault="00FD64CE" w:rsidP="000F5C94">
            <w:pPr>
              <w:spacing w:before="100" w:beforeAutospacing="1" w:after="100" w:afterAutospacing="1" w:line="276" w:lineRule="auto"/>
              <w:rPr>
                <w:color w:val="FF0000"/>
              </w:rPr>
            </w:pPr>
            <w:r>
              <w:rPr>
                <w:rFonts w:ascii="Arial Narrow" w:hAnsi="Arial Narrow"/>
                <w:b/>
                <w:sz w:val="32"/>
                <w:szCs w:val="32"/>
              </w:rPr>
              <w:t>C</w:t>
            </w:r>
          </w:p>
        </w:tc>
      </w:tr>
      <w:tr w:rsidR="00FD64CE" w:rsidRPr="00D64245" w14:paraId="7BAC349E" w14:textId="77777777" w:rsidTr="00A72E5C">
        <w:trPr>
          <w:trHeight w:val="413"/>
        </w:trPr>
        <w:tc>
          <w:tcPr>
            <w:tcW w:w="10790" w:type="dxa"/>
            <w:shd w:val="clear" w:color="auto" w:fill="auto"/>
          </w:tcPr>
          <w:p w14:paraId="66DE5D3F" w14:textId="5FE2F28E" w:rsidR="00FD64CE" w:rsidRDefault="00FD64CE" w:rsidP="000F5C94">
            <w:pPr>
              <w:spacing w:before="100" w:beforeAutospacing="1" w:after="100" w:afterAutospacing="1" w:line="276" w:lineRule="auto"/>
              <w:rPr>
                <w:rFonts w:ascii="Arial Narrow" w:hAnsi="Arial Narrow"/>
                <w:b/>
                <w:sz w:val="32"/>
                <w:szCs w:val="32"/>
              </w:rPr>
            </w:pPr>
            <w:r w:rsidRPr="00565E42">
              <w:rPr>
                <w:b/>
              </w:rPr>
              <w:t>C</w:t>
            </w:r>
            <w:r>
              <w:t xml:space="preserve"> – </w:t>
            </w:r>
            <w:r w:rsidR="00995E46">
              <w:t xml:space="preserve">Pollutant </w:t>
            </w:r>
            <w:r w:rsidR="00BB05C9">
              <w:t>C</w:t>
            </w:r>
            <w:r w:rsidR="00995E46">
              <w:t>oncentration</w:t>
            </w:r>
          </w:p>
        </w:tc>
      </w:tr>
      <w:tr w:rsidR="007233F9" w:rsidRPr="00D64245" w14:paraId="0F8BEE49" w14:textId="77777777" w:rsidTr="00A72E5C">
        <w:trPr>
          <w:trHeight w:val="413"/>
        </w:trPr>
        <w:tc>
          <w:tcPr>
            <w:tcW w:w="10790" w:type="dxa"/>
            <w:shd w:val="clear" w:color="auto" w:fill="auto"/>
          </w:tcPr>
          <w:p w14:paraId="20A5B134" w14:textId="45913773" w:rsidR="007233F9" w:rsidRPr="007233F9" w:rsidRDefault="007233F9" w:rsidP="000F5C94">
            <w:pPr>
              <w:spacing w:before="100" w:beforeAutospacing="1" w:after="100" w:afterAutospacing="1" w:line="276" w:lineRule="auto"/>
            </w:pPr>
            <w:r>
              <w:rPr>
                <w:b/>
              </w:rPr>
              <w:t>Ca</w:t>
            </w:r>
            <w:r w:rsidR="00494F51">
              <w:rPr>
                <w:b/>
              </w:rPr>
              <w:t>p</w:t>
            </w:r>
            <w:r>
              <w:rPr>
                <w:b/>
              </w:rPr>
              <w:t xml:space="preserve">ping Inversion </w:t>
            </w:r>
            <w:r w:rsidR="00494F51">
              <w:t xml:space="preserve">– Strongly </w:t>
            </w:r>
            <w:r>
              <w:rPr>
                <w:sz w:val="24"/>
                <w:szCs w:val="24"/>
              </w:rPr>
              <w:t>stable layer found above the daytime mixed layer.</w:t>
            </w:r>
          </w:p>
        </w:tc>
      </w:tr>
      <w:tr w:rsidR="00FF0965" w:rsidRPr="00D64245" w14:paraId="4F1BFA43" w14:textId="77777777" w:rsidTr="00A72E5C">
        <w:trPr>
          <w:trHeight w:val="413"/>
        </w:trPr>
        <w:tc>
          <w:tcPr>
            <w:tcW w:w="10790" w:type="dxa"/>
            <w:shd w:val="clear" w:color="auto" w:fill="auto"/>
          </w:tcPr>
          <w:p w14:paraId="0FAF31F3" w14:textId="714FB985" w:rsidR="00FF0965" w:rsidRPr="00565E42" w:rsidRDefault="00FF0965" w:rsidP="000F5C94">
            <w:pPr>
              <w:spacing w:before="100" w:beforeAutospacing="1" w:after="100" w:afterAutospacing="1" w:line="276" w:lineRule="auto"/>
              <w:rPr>
                <w:b/>
              </w:rPr>
            </w:pPr>
            <w:r w:rsidRPr="00565E42">
              <w:rPr>
                <w:b/>
              </w:rPr>
              <w:t>C</w:t>
            </w:r>
            <w:r w:rsidR="007233F9">
              <w:rPr>
                <w:b/>
              </w:rPr>
              <w:t>avity</w:t>
            </w:r>
            <w:r>
              <w:t xml:space="preserve"> – </w:t>
            </w:r>
            <w:r w:rsidR="007233F9">
              <w:rPr>
                <w:sz w:val="24"/>
                <w:szCs w:val="24"/>
              </w:rPr>
              <w:t>Highly turbulent recirculating region just downwind of a building or structure (also know</w:t>
            </w:r>
            <w:r w:rsidR="00A2506F">
              <w:rPr>
                <w:sz w:val="24"/>
                <w:szCs w:val="24"/>
              </w:rPr>
              <w:t>n</w:t>
            </w:r>
            <w:r w:rsidR="007233F9">
              <w:rPr>
                <w:sz w:val="24"/>
                <w:szCs w:val="24"/>
              </w:rPr>
              <w:t xml:space="preserve"> as the Near Wake).</w:t>
            </w:r>
          </w:p>
        </w:tc>
      </w:tr>
      <w:tr w:rsidR="00BB05C9" w:rsidRPr="00D64245" w14:paraId="4CAD65BB" w14:textId="77777777" w:rsidTr="00A72E5C">
        <w:trPr>
          <w:trHeight w:val="413"/>
        </w:trPr>
        <w:tc>
          <w:tcPr>
            <w:tcW w:w="10790" w:type="dxa"/>
            <w:shd w:val="clear" w:color="auto" w:fill="auto"/>
          </w:tcPr>
          <w:p w14:paraId="0BF4E2CC" w14:textId="49DE046C" w:rsidR="00BB05C9" w:rsidRDefault="00BB05C9" w:rsidP="000F5C94">
            <w:pPr>
              <w:spacing w:before="100" w:beforeAutospacing="1" w:after="100" w:afterAutospacing="1" w:line="276" w:lineRule="auto"/>
            </w:pPr>
            <w:r w:rsidRPr="00565E42">
              <w:rPr>
                <w:b/>
              </w:rPr>
              <w:t>C</w:t>
            </w:r>
            <w:r w:rsidR="007233F9">
              <w:rPr>
                <w:b/>
              </w:rPr>
              <w:t>BL</w:t>
            </w:r>
            <w:r>
              <w:t xml:space="preserve"> – C</w:t>
            </w:r>
            <w:r w:rsidR="007233F9">
              <w:t>onvective Boundary Layer</w:t>
            </w:r>
          </w:p>
        </w:tc>
      </w:tr>
      <w:tr w:rsidR="00B00092" w:rsidRPr="00D64245" w14:paraId="7D71459D" w14:textId="77777777" w:rsidTr="00A72E5C">
        <w:trPr>
          <w:trHeight w:val="413"/>
        </w:trPr>
        <w:tc>
          <w:tcPr>
            <w:tcW w:w="10790" w:type="dxa"/>
            <w:shd w:val="clear" w:color="auto" w:fill="auto"/>
          </w:tcPr>
          <w:p w14:paraId="08F6C1B0" w14:textId="40445FE9" w:rsidR="00B00092" w:rsidRPr="00B00092" w:rsidRDefault="00B00092" w:rsidP="00B00092">
            <w:pPr>
              <w:spacing w:before="100" w:beforeAutospacing="1" w:after="100" w:afterAutospacing="1" w:line="276" w:lineRule="auto"/>
            </w:pPr>
            <w:r>
              <w:rPr>
                <w:b/>
              </w:rPr>
              <w:lastRenderedPageBreak/>
              <w:t xml:space="preserve">CMAQ </w:t>
            </w:r>
            <w:r>
              <w:t>– Community Multi-scale Air Quality model, a Eulerian atmospheric dispersion model, developed by the US EPA to address and deal with regional air pollution problems.</w:t>
            </w:r>
          </w:p>
        </w:tc>
      </w:tr>
      <w:tr w:rsidR="00822A16" w:rsidRPr="00D64245" w14:paraId="51360575" w14:textId="77777777" w:rsidTr="00A72E5C">
        <w:trPr>
          <w:trHeight w:val="413"/>
        </w:trPr>
        <w:tc>
          <w:tcPr>
            <w:tcW w:w="10790" w:type="dxa"/>
            <w:shd w:val="clear" w:color="auto" w:fill="auto"/>
          </w:tcPr>
          <w:p w14:paraId="0EA7AA1E" w14:textId="2F00A0BF" w:rsidR="00822A16" w:rsidRPr="00565E42" w:rsidRDefault="00822A16" w:rsidP="000F5C94">
            <w:pPr>
              <w:spacing w:before="100" w:beforeAutospacing="1" w:after="100" w:afterAutospacing="1" w:line="276" w:lineRule="auto"/>
              <w:rPr>
                <w:b/>
              </w:rPr>
            </w:pPr>
            <w:r>
              <w:rPr>
                <w:b/>
              </w:rPr>
              <w:t xml:space="preserve">CNPY </w:t>
            </w:r>
            <w:r w:rsidR="007A2875">
              <w:t>– Tree C</w:t>
            </w:r>
            <w:r w:rsidRPr="007A2875">
              <w:t>ano</w:t>
            </w:r>
            <w:r w:rsidR="00CD5D93">
              <w:t>py data</w:t>
            </w:r>
          </w:p>
        </w:tc>
      </w:tr>
      <w:tr w:rsidR="00F66582" w:rsidRPr="00D64245" w14:paraId="17995ABD" w14:textId="77777777" w:rsidTr="00A72E5C">
        <w:trPr>
          <w:trHeight w:val="413"/>
        </w:trPr>
        <w:tc>
          <w:tcPr>
            <w:tcW w:w="10790" w:type="dxa"/>
            <w:shd w:val="clear" w:color="auto" w:fill="auto"/>
          </w:tcPr>
          <w:p w14:paraId="5066ECDA" w14:textId="6208123B" w:rsidR="00F66582" w:rsidRDefault="00FF0965" w:rsidP="000F5C94">
            <w:pPr>
              <w:spacing w:before="100" w:beforeAutospacing="1" w:after="100" w:afterAutospacing="1" w:line="276" w:lineRule="auto"/>
            </w:pPr>
            <w:r w:rsidRPr="00FF0965">
              <w:rPr>
                <w:b/>
              </w:rPr>
              <w:t>C</w:t>
            </w:r>
            <w:r w:rsidR="007233F9">
              <w:rPr>
                <w:b/>
              </w:rPr>
              <w:t>O</w:t>
            </w:r>
            <w:r>
              <w:t xml:space="preserve"> – C</w:t>
            </w:r>
            <w:r w:rsidR="007233F9">
              <w:t>ontrol – Titles, modeling options, pollutant IDs, averaging time (Also is abbreviation for Carbon Monoxide).</w:t>
            </w:r>
          </w:p>
        </w:tc>
      </w:tr>
      <w:tr w:rsidR="00822A16" w:rsidRPr="00D64245" w14:paraId="60AAC0DA" w14:textId="77777777" w:rsidTr="00A72E5C">
        <w:trPr>
          <w:trHeight w:val="413"/>
        </w:trPr>
        <w:tc>
          <w:tcPr>
            <w:tcW w:w="10790" w:type="dxa"/>
            <w:shd w:val="clear" w:color="auto" w:fill="auto"/>
          </w:tcPr>
          <w:p w14:paraId="759E9AEF" w14:textId="7995DC7E" w:rsidR="00822A16" w:rsidRPr="00FF0965" w:rsidRDefault="007A2875" w:rsidP="000F5C94">
            <w:pPr>
              <w:spacing w:before="100" w:beforeAutospacing="1" w:after="100" w:afterAutospacing="1" w:line="276" w:lineRule="auto"/>
              <w:rPr>
                <w:b/>
              </w:rPr>
            </w:pPr>
            <w:r>
              <w:rPr>
                <w:b/>
              </w:rPr>
              <w:t>Commissioned ASOS D</w:t>
            </w:r>
            <w:r w:rsidR="00822A16">
              <w:rPr>
                <w:b/>
              </w:rPr>
              <w:t xml:space="preserve">ata </w:t>
            </w:r>
            <w:r>
              <w:t>– C</w:t>
            </w:r>
            <w:r w:rsidR="00822A16" w:rsidRPr="007A2875">
              <w:t>ontains full hours of 1-minute ASOS met data.</w:t>
            </w:r>
          </w:p>
        </w:tc>
      </w:tr>
      <w:tr w:rsidR="00FF4921" w:rsidRPr="00D64245" w14:paraId="75C390DD" w14:textId="77777777" w:rsidTr="00A72E5C">
        <w:trPr>
          <w:trHeight w:val="413"/>
        </w:trPr>
        <w:tc>
          <w:tcPr>
            <w:tcW w:w="10790" w:type="dxa"/>
            <w:shd w:val="clear" w:color="auto" w:fill="auto"/>
          </w:tcPr>
          <w:p w14:paraId="580FEB52" w14:textId="0538C4EA" w:rsidR="00FF4921" w:rsidRPr="00FF4921" w:rsidRDefault="00FF4921" w:rsidP="000F5C94">
            <w:pPr>
              <w:spacing w:before="100" w:beforeAutospacing="1" w:after="100" w:afterAutospacing="1" w:line="276" w:lineRule="auto"/>
            </w:pPr>
            <w:r>
              <w:rPr>
                <w:b/>
              </w:rPr>
              <w:t xml:space="preserve">Convective Conditions </w:t>
            </w:r>
            <w:r>
              <w:t xml:space="preserve">– (L&lt;0) </w:t>
            </w:r>
            <w:r w:rsidR="00A2506F">
              <w:t xml:space="preserve">Turbulence is driven primarily by buoyancy due to surface heating from the sun. </w:t>
            </w:r>
            <w:r>
              <w:t xml:space="preserve">The Plume’s Horizontal Concentration distribution is assumed to be Gaussian. </w:t>
            </w:r>
            <w:r w:rsidR="00A2506F">
              <w:t xml:space="preserve"> The plume’s vertical concentration distribution is a combination of a bi-Gaussian approach in the mixed layer and a penetrated plume above the mixed layer.</w:t>
            </w:r>
          </w:p>
        </w:tc>
      </w:tr>
      <w:tr w:rsidR="00040060" w:rsidRPr="00D64245" w14:paraId="6029FF4A" w14:textId="77777777" w:rsidTr="00A72E5C">
        <w:trPr>
          <w:trHeight w:val="413"/>
        </w:trPr>
        <w:tc>
          <w:tcPr>
            <w:tcW w:w="10790" w:type="dxa"/>
            <w:shd w:val="clear" w:color="auto" w:fill="auto"/>
          </w:tcPr>
          <w:p w14:paraId="40037847" w14:textId="3B88406C" w:rsidR="00040060" w:rsidRPr="00040060" w:rsidRDefault="00040060" w:rsidP="000F5C94">
            <w:pPr>
              <w:spacing w:line="276" w:lineRule="auto"/>
            </w:pPr>
            <w:r>
              <w:rPr>
                <w:b/>
              </w:rPr>
              <w:t xml:space="preserve">Convective Velocity Scale </w:t>
            </w:r>
            <w:r>
              <w:t xml:space="preserve">– </w:t>
            </w:r>
            <w:r>
              <w:rPr>
                <w:sz w:val="24"/>
                <w:szCs w:val="24"/>
              </w:rPr>
              <w:t>(W</w:t>
            </w:r>
            <w:r w:rsidRPr="00040060">
              <w:rPr>
                <w:sz w:val="24"/>
                <w:szCs w:val="24"/>
                <w:vertAlign w:val="subscript"/>
              </w:rPr>
              <w:t>*</w:t>
            </w:r>
            <w:r w:rsidRPr="00B617E6">
              <w:rPr>
                <w:sz w:val="24"/>
                <w:szCs w:val="24"/>
              </w:rPr>
              <w:t xml:space="preserve">) </w:t>
            </w:r>
            <w:r>
              <w:rPr>
                <w:sz w:val="24"/>
                <w:szCs w:val="24"/>
              </w:rPr>
              <w:t>T</w:t>
            </w:r>
            <w:r w:rsidRPr="00B617E6">
              <w:rPr>
                <w:sz w:val="24"/>
                <w:szCs w:val="24"/>
              </w:rPr>
              <w:t>he characteristic velocity of large-scale turbulent eddies (thermals); on</w:t>
            </w:r>
            <w:r>
              <w:rPr>
                <w:sz w:val="24"/>
                <w:szCs w:val="24"/>
              </w:rPr>
              <w:t xml:space="preserve"> the order of 1 m/s (varies from 0.1 to about 2.0).</w:t>
            </w:r>
          </w:p>
        </w:tc>
      </w:tr>
      <w:tr w:rsidR="00210E5A" w:rsidRPr="00D64245" w14:paraId="31BAC120" w14:textId="77777777" w:rsidTr="00A72E5C">
        <w:trPr>
          <w:trHeight w:val="413"/>
        </w:trPr>
        <w:tc>
          <w:tcPr>
            <w:tcW w:w="10790" w:type="dxa"/>
            <w:shd w:val="clear" w:color="auto" w:fill="E2EFD9" w:themeFill="accent6" w:themeFillTint="33"/>
          </w:tcPr>
          <w:p w14:paraId="6A53F3BE" w14:textId="00C1C531" w:rsidR="00210E5A" w:rsidRPr="00494F51" w:rsidRDefault="00210E5A" w:rsidP="000F5C94">
            <w:pPr>
              <w:spacing w:line="276" w:lineRule="auto"/>
              <w:rPr>
                <w:sz w:val="24"/>
                <w:szCs w:val="24"/>
              </w:rPr>
            </w:pPr>
            <w:r>
              <w:rPr>
                <w:rFonts w:ascii="Arial Narrow" w:hAnsi="Arial Narrow"/>
                <w:b/>
                <w:sz w:val="32"/>
                <w:szCs w:val="32"/>
              </w:rPr>
              <w:t>D</w:t>
            </w:r>
          </w:p>
        </w:tc>
      </w:tr>
      <w:tr w:rsidR="00822A16" w:rsidRPr="00D64245" w14:paraId="610EB063" w14:textId="77777777" w:rsidTr="00A72E5C">
        <w:trPr>
          <w:trHeight w:val="413"/>
        </w:trPr>
        <w:tc>
          <w:tcPr>
            <w:tcW w:w="10790" w:type="dxa"/>
            <w:shd w:val="clear" w:color="auto" w:fill="FFFFFF" w:themeFill="background1"/>
          </w:tcPr>
          <w:p w14:paraId="09356920" w14:textId="40752E2F" w:rsidR="00822A16" w:rsidRPr="00CC724D" w:rsidRDefault="00822A16" w:rsidP="000F5C94">
            <w:pPr>
              <w:spacing w:line="276" w:lineRule="auto"/>
              <w:rPr>
                <w:b/>
                <w:sz w:val="24"/>
                <w:szCs w:val="24"/>
              </w:rPr>
            </w:pPr>
            <w:r w:rsidRPr="00CC724D">
              <w:rPr>
                <w:b/>
                <w:sz w:val="24"/>
                <w:szCs w:val="24"/>
              </w:rPr>
              <w:t xml:space="preserve">Datum </w:t>
            </w:r>
            <w:r w:rsidRPr="00CC724D">
              <w:rPr>
                <w:sz w:val="24"/>
                <w:szCs w:val="24"/>
              </w:rPr>
              <w:t>– Geographic reference point for site locations.</w:t>
            </w:r>
          </w:p>
        </w:tc>
      </w:tr>
      <w:tr w:rsidR="00210E5A" w:rsidRPr="00D64245" w14:paraId="3ABD72E2" w14:textId="77777777" w:rsidTr="00A72E5C">
        <w:trPr>
          <w:trHeight w:val="413"/>
        </w:trPr>
        <w:tc>
          <w:tcPr>
            <w:tcW w:w="10790" w:type="dxa"/>
            <w:shd w:val="clear" w:color="auto" w:fill="auto"/>
          </w:tcPr>
          <w:p w14:paraId="5067D75A" w14:textId="212D01CD" w:rsidR="00210E5A" w:rsidRPr="00210E5A" w:rsidRDefault="00210E5A" w:rsidP="000F5C94">
            <w:pPr>
              <w:spacing w:before="240" w:line="276" w:lineRule="auto"/>
              <w:rPr>
                <w:sz w:val="24"/>
                <w:szCs w:val="24"/>
              </w:rPr>
            </w:pPr>
            <w:r>
              <w:rPr>
                <w:b/>
                <w:sz w:val="24"/>
                <w:szCs w:val="24"/>
              </w:rPr>
              <w:t xml:space="preserve">DEM </w:t>
            </w:r>
            <w:r w:rsidR="005B130B">
              <w:rPr>
                <w:sz w:val="24"/>
                <w:szCs w:val="24"/>
              </w:rPr>
              <w:t>–</w:t>
            </w:r>
            <w:r>
              <w:rPr>
                <w:sz w:val="24"/>
                <w:szCs w:val="24"/>
              </w:rPr>
              <w:t xml:space="preserve"> Digital Elevation Model.  Three-dimensional elevation data describing the terrain along the earth’s surface required by AERMAP to determine the hill height scale for each receptor. </w:t>
            </w:r>
          </w:p>
        </w:tc>
      </w:tr>
      <w:tr w:rsidR="004C25D5" w:rsidRPr="00D64245" w14:paraId="3EB803DE" w14:textId="77777777" w:rsidTr="00A72E5C">
        <w:trPr>
          <w:trHeight w:val="413"/>
        </w:trPr>
        <w:tc>
          <w:tcPr>
            <w:tcW w:w="10790" w:type="dxa"/>
            <w:shd w:val="clear" w:color="auto" w:fill="auto"/>
          </w:tcPr>
          <w:p w14:paraId="16E733B9" w14:textId="3AD132A8" w:rsidR="004C25D5" w:rsidRPr="004C25D5" w:rsidRDefault="004C25D5" w:rsidP="000F5C94">
            <w:pPr>
              <w:spacing w:before="240" w:line="276" w:lineRule="auto"/>
              <w:rPr>
                <w:sz w:val="24"/>
                <w:szCs w:val="24"/>
              </w:rPr>
            </w:pPr>
            <w:r>
              <w:rPr>
                <w:b/>
                <w:sz w:val="24"/>
                <w:szCs w:val="24"/>
              </w:rPr>
              <w:t xml:space="preserve">DEM File </w:t>
            </w:r>
            <w:r>
              <w:rPr>
                <w:sz w:val="24"/>
                <w:szCs w:val="24"/>
              </w:rPr>
              <w:t xml:space="preserve">– </w:t>
            </w:r>
            <w:r>
              <w:t>Files that contain either points (vector) or pixels (raster), with each point or pixel having an elevation value.</w:t>
            </w:r>
          </w:p>
        </w:tc>
      </w:tr>
      <w:tr w:rsidR="005B130B" w:rsidRPr="00D64245" w14:paraId="50DFCCA9" w14:textId="77777777" w:rsidTr="00A72E5C">
        <w:trPr>
          <w:trHeight w:val="413"/>
        </w:trPr>
        <w:tc>
          <w:tcPr>
            <w:tcW w:w="10790" w:type="dxa"/>
            <w:shd w:val="clear" w:color="auto" w:fill="auto"/>
          </w:tcPr>
          <w:p w14:paraId="1C00418F" w14:textId="439DEF10" w:rsidR="005B130B" w:rsidRPr="005B130B" w:rsidRDefault="005B130B" w:rsidP="000F5C94">
            <w:pPr>
              <w:spacing w:before="240" w:line="276" w:lineRule="auto"/>
              <w:rPr>
                <w:sz w:val="24"/>
                <w:szCs w:val="24"/>
              </w:rPr>
            </w:pPr>
            <w:r>
              <w:rPr>
                <w:b/>
                <w:sz w:val="24"/>
                <w:szCs w:val="24"/>
              </w:rPr>
              <w:t xml:space="preserve">Direct Plume </w:t>
            </w:r>
            <w:r w:rsidR="009F3BAA">
              <w:rPr>
                <w:sz w:val="24"/>
                <w:szCs w:val="24"/>
              </w:rPr>
              <w:t>–</w:t>
            </w:r>
            <w:r>
              <w:rPr>
                <w:sz w:val="24"/>
                <w:szCs w:val="24"/>
              </w:rPr>
              <w:t xml:space="preserve"> </w:t>
            </w:r>
            <w:r w:rsidR="009F3BAA">
              <w:rPr>
                <w:sz w:val="24"/>
                <w:szCs w:val="24"/>
              </w:rPr>
              <w:t xml:space="preserve">In </w:t>
            </w:r>
            <w:r>
              <w:rPr>
                <w:sz w:val="24"/>
                <w:szCs w:val="24"/>
              </w:rPr>
              <w:t>convective conditions, the part of the plume mass that has insufficient buoyancy to reach the top of the mixed layer.</w:t>
            </w:r>
          </w:p>
        </w:tc>
      </w:tr>
      <w:tr w:rsidR="005B130B" w:rsidRPr="00D64245" w14:paraId="20ABA59F" w14:textId="77777777" w:rsidTr="00A72E5C">
        <w:trPr>
          <w:trHeight w:val="413"/>
        </w:trPr>
        <w:tc>
          <w:tcPr>
            <w:tcW w:w="10790" w:type="dxa"/>
            <w:shd w:val="clear" w:color="auto" w:fill="auto"/>
          </w:tcPr>
          <w:p w14:paraId="5C075744" w14:textId="320C533F" w:rsidR="005B130B" w:rsidRPr="005B130B" w:rsidRDefault="005B130B" w:rsidP="000F5C94">
            <w:pPr>
              <w:spacing w:before="240" w:line="276" w:lineRule="auto"/>
              <w:rPr>
                <w:sz w:val="24"/>
                <w:szCs w:val="24"/>
              </w:rPr>
            </w:pPr>
            <w:r>
              <w:rPr>
                <w:b/>
                <w:sz w:val="24"/>
                <w:szCs w:val="24"/>
              </w:rPr>
              <w:t xml:space="preserve">Dividing Streamline Height – </w:t>
            </w:r>
            <w:r>
              <w:rPr>
                <w:sz w:val="24"/>
                <w:szCs w:val="24"/>
              </w:rPr>
              <w:t>(H</w:t>
            </w:r>
            <w:r>
              <w:rPr>
                <w:sz w:val="24"/>
                <w:szCs w:val="24"/>
                <w:vertAlign w:val="subscript"/>
              </w:rPr>
              <w:t>c</w:t>
            </w:r>
            <w:r>
              <w:rPr>
                <w:sz w:val="24"/>
                <w:szCs w:val="24"/>
              </w:rPr>
              <w:t>) In complex terrain in a stable atmospheric layer, the height above which plume material is contained in a flow with sufficient kinetic energy to overcome the stability and surmount the top of the local hill.</w:t>
            </w:r>
          </w:p>
        </w:tc>
      </w:tr>
      <w:tr w:rsidR="00E24603" w:rsidRPr="00D64245" w14:paraId="76AA33BE" w14:textId="77777777" w:rsidTr="00A72E5C">
        <w:trPr>
          <w:trHeight w:val="413"/>
        </w:trPr>
        <w:tc>
          <w:tcPr>
            <w:tcW w:w="10790" w:type="dxa"/>
            <w:shd w:val="clear" w:color="auto" w:fill="auto"/>
          </w:tcPr>
          <w:p w14:paraId="0BAFE9D4" w14:textId="5C33D76D" w:rsidR="00E24603" w:rsidRPr="00E24603" w:rsidRDefault="00E24603" w:rsidP="000F5C94">
            <w:pPr>
              <w:spacing w:before="240" w:line="276" w:lineRule="auto"/>
              <w:rPr>
                <w:sz w:val="24"/>
                <w:szCs w:val="24"/>
              </w:rPr>
            </w:pPr>
            <w:r>
              <w:rPr>
                <w:b/>
                <w:sz w:val="24"/>
                <w:szCs w:val="24"/>
              </w:rPr>
              <w:t xml:space="preserve">Downwash </w:t>
            </w:r>
            <w:r>
              <w:rPr>
                <w:sz w:val="24"/>
                <w:szCs w:val="24"/>
              </w:rPr>
              <w:t xml:space="preserve">– </w:t>
            </w:r>
            <w:r>
              <w:t>Rapid mixing to the surface of an elevated pollutant plume due to the turbulent mixing and streamline deflections associated with the influence of a nearby building or structure on the ambient flow.</w:t>
            </w:r>
          </w:p>
        </w:tc>
      </w:tr>
      <w:tr w:rsidR="00FD64CE" w:rsidRPr="00D64245" w14:paraId="60F91151" w14:textId="77777777" w:rsidTr="00A72E5C">
        <w:trPr>
          <w:trHeight w:val="413"/>
        </w:trPr>
        <w:tc>
          <w:tcPr>
            <w:tcW w:w="10790" w:type="dxa"/>
            <w:shd w:val="clear" w:color="auto" w:fill="E2EFD9" w:themeFill="accent6" w:themeFillTint="33"/>
          </w:tcPr>
          <w:p w14:paraId="095A1C37" w14:textId="54A1C6C7" w:rsidR="00FD64CE" w:rsidRDefault="00DF461C" w:rsidP="000F5C94">
            <w:pPr>
              <w:spacing w:before="100" w:beforeAutospacing="1" w:after="100" w:afterAutospacing="1" w:line="276" w:lineRule="auto"/>
            </w:pPr>
            <w:r>
              <w:rPr>
                <w:rFonts w:ascii="Arial Narrow" w:hAnsi="Arial Narrow"/>
                <w:b/>
                <w:sz w:val="32"/>
                <w:szCs w:val="32"/>
              </w:rPr>
              <w:t>E</w:t>
            </w:r>
          </w:p>
        </w:tc>
      </w:tr>
      <w:tr w:rsidR="00FD64CE" w:rsidRPr="00D64245" w14:paraId="0732760A" w14:textId="77777777" w:rsidTr="00A72E5C">
        <w:trPr>
          <w:trHeight w:val="413"/>
        </w:trPr>
        <w:tc>
          <w:tcPr>
            <w:tcW w:w="10790" w:type="dxa"/>
            <w:shd w:val="clear" w:color="auto" w:fill="auto"/>
          </w:tcPr>
          <w:p w14:paraId="5EE80C73" w14:textId="0088F0F4" w:rsidR="00FD64CE" w:rsidRDefault="00DF461C" w:rsidP="000F5C94">
            <w:pPr>
              <w:spacing w:before="100" w:beforeAutospacing="1" w:after="100" w:afterAutospacing="1" w:line="276" w:lineRule="auto"/>
            </w:pPr>
            <w:r w:rsidRPr="00565E42">
              <w:rPr>
                <w:b/>
              </w:rPr>
              <w:t>E</w:t>
            </w:r>
            <w:r w:rsidR="005B130B">
              <w:rPr>
                <w:b/>
              </w:rPr>
              <w:t>BD</w:t>
            </w:r>
            <w:r w:rsidR="00FD64CE" w:rsidRPr="00F26B7B">
              <w:t xml:space="preserve"> </w:t>
            </w:r>
            <w:r w:rsidR="00F26B7B" w:rsidRPr="00F26B7B">
              <w:t>–</w:t>
            </w:r>
            <w:r w:rsidR="00FD64CE" w:rsidRPr="00F26B7B">
              <w:t xml:space="preserve"> </w:t>
            </w:r>
            <w:r w:rsidR="009F3BAA">
              <w:t>Equivalent Building Dimensions</w:t>
            </w:r>
          </w:p>
        </w:tc>
      </w:tr>
      <w:tr w:rsidR="00DD39C7" w:rsidRPr="00D64245" w14:paraId="6EF8690A" w14:textId="77777777" w:rsidTr="00A72E5C">
        <w:trPr>
          <w:trHeight w:val="413"/>
        </w:trPr>
        <w:tc>
          <w:tcPr>
            <w:tcW w:w="10790" w:type="dxa"/>
            <w:shd w:val="clear" w:color="auto" w:fill="auto"/>
          </w:tcPr>
          <w:p w14:paraId="1BFDB43E" w14:textId="00E4D447" w:rsidR="00DD39C7" w:rsidRDefault="00DD39C7" w:rsidP="000F5C94">
            <w:pPr>
              <w:spacing w:before="100" w:beforeAutospacing="1" w:after="100" w:afterAutospacing="1" w:line="276" w:lineRule="auto"/>
            </w:pPr>
            <w:r w:rsidRPr="00565E42">
              <w:rPr>
                <w:b/>
              </w:rPr>
              <w:t>E</w:t>
            </w:r>
            <w:r w:rsidR="009F3BAA">
              <w:rPr>
                <w:b/>
              </w:rPr>
              <w:t>ddy</w:t>
            </w:r>
            <w:r>
              <w:t xml:space="preserve"> – </w:t>
            </w:r>
            <w:r w:rsidR="009F3BAA">
              <w:rPr>
                <w:sz w:val="24"/>
                <w:szCs w:val="24"/>
              </w:rPr>
              <w:t>Circulating motion of air within a turbulent fluid.</w:t>
            </w:r>
          </w:p>
        </w:tc>
      </w:tr>
      <w:tr w:rsidR="009F3BAA" w:rsidRPr="00D64245" w14:paraId="53E55FED" w14:textId="77777777" w:rsidTr="00A72E5C">
        <w:trPr>
          <w:trHeight w:val="413"/>
        </w:trPr>
        <w:tc>
          <w:tcPr>
            <w:tcW w:w="10790" w:type="dxa"/>
            <w:shd w:val="clear" w:color="auto" w:fill="auto"/>
          </w:tcPr>
          <w:p w14:paraId="3A832313" w14:textId="11572F7D" w:rsidR="009F3BAA" w:rsidRPr="009F3BAA" w:rsidRDefault="009F3BAA" w:rsidP="000F5C94">
            <w:pPr>
              <w:spacing w:before="100" w:beforeAutospacing="1" w:after="100" w:afterAutospacing="1" w:line="276" w:lineRule="auto"/>
            </w:pPr>
            <w:r>
              <w:rPr>
                <w:b/>
              </w:rPr>
              <w:t xml:space="preserve">Effective Parameters </w:t>
            </w:r>
            <w:r>
              <w:t xml:space="preserve">– Variables </w:t>
            </w:r>
            <w:r>
              <w:rPr>
                <w:sz w:val="24"/>
                <w:szCs w:val="24"/>
              </w:rPr>
              <w:t>or parameters (e.g. wind speed, turbulence parameters) averaged in the vertical layer between the plume center and the receptor hei</w:t>
            </w:r>
            <w:r w:rsidR="005F7FDB">
              <w:rPr>
                <w:sz w:val="24"/>
                <w:szCs w:val="24"/>
              </w:rPr>
              <w:t xml:space="preserve">ght at the downwind distance of </w:t>
            </w:r>
            <w:r>
              <w:rPr>
                <w:sz w:val="24"/>
                <w:szCs w:val="24"/>
              </w:rPr>
              <w:t>the receptor.</w:t>
            </w:r>
          </w:p>
        </w:tc>
      </w:tr>
      <w:tr w:rsidR="00DF461C" w:rsidRPr="00D64245" w14:paraId="0952F2E4" w14:textId="77777777" w:rsidTr="00A72E5C">
        <w:trPr>
          <w:trHeight w:val="413"/>
        </w:trPr>
        <w:tc>
          <w:tcPr>
            <w:tcW w:w="10790" w:type="dxa"/>
            <w:shd w:val="clear" w:color="auto" w:fill="auto"/>
          </w:tcPr>
          <w:p w14:paraId="242A6434" w14:textId="3BF95FFD" w:rsidR="00DF461C" w:rsidRDefault="00DF461C" w:rsidP="000F5C94">
            <w:pPr>
              <w:spacing w:before="100" w:beforeAutospacing="1" w:after="100" w:afterAutospacing="1" w:line="276" w:lineRule="auto"/>
            </w:pPr>
            <w:r w:rsidRPr="00565E42">
              <w:rPr>
                <w:b/>
              </w:rPr>
              <w:t>EPA</w:t>
            </w:r>
            <w:r>
              <w:t xml:space="preserve"> – Environmental Protection Agency</w:t>
            </w:r>
            <w:r w:rsidR="00B03483">
              <w:t xml:space="preserve"> (federal US EPA)</w:t>
            </w:r>
          </w:p>
        </w:tc>
      </w:tr>
      <w:tr w:rsidR="00DF461C" w:rsidRPr="00D64245" w14:paraId="2A3999BF" w14:textId="77777777" w:rsidTr="00A72E5C">
        <w:trPr>
          <w:trHeight w:val="413"/>
        </w:trPr>
        <w:tc>
          <w:tcPr>
            <w:tcW w:w="10790" w:type="dxa"/>
            <w:shd w:val="clear" w:color="auto" w:fill="auto"/>
          </w:tcPr>
          <w:p w14:paraId="3BD9B676" w14:textId="01C33FD3" w:rsidR="00DF461C" w:rsidRDefault="00DF461C" w:rsidP="000F5C94">
            <w:pPr>
              <w:spacing w:before="100" w:beforeAutospacing="1" w:after="100" w:afterAutospacing="1" w:line="276" w:lineRule="auto"/>
            </w:pPr>
            <w:r w:rsidRPr="00565E42">
              <w:rPr>
                <w:b/>
              </w:rPr>
              <w:t>ER</w:t>
            </w:r>
            <w:r w:rsidR="00005712">
              <w:rPr>
                <w:b/>
              </w:rPr>
              <w:t xml:space="preserve">M – </w:t>
            </w:r>
            <w:r w:rsidR="00005712">
              <w:t xml:space="preserve">Effective </w:t>
            </w:r>
            <w:r w:rsidR="009F3BAA">
              <w:t>Roughness Method</w:t>
            </w:r>
          </w:p>
        </w:tc>
      </w:tr>
      <w:tr w:rsidR="00DF461C" w:rsidRPr="00D64245" w14:paraId="3C56E980" w14:textId="77777777" w:rsidTr="00A72E5C">
        <w:trPr>
          <w:trHeight w:val="413"/>
        </w:trPr>
        <w:tc>
          <w:tcPr>
            <w:tcW w:w="10790" w:type="dxa"/>
            <w:shd w:val="clear" w:color="auto" w:fill="auto"/>
          </w:tcPr>
          <w:p w14:paraId="3C30EF3E" w14:textId="5E26744E" w:rsidR="00DF461C" w:rsidRDefault="00DF461C" w:rsidP="000F5C94">
            <w:pPr>
              <w:spacing w:before="100" w:beforeAutospacing="1" w:after="100" w:afterAutospacing="1" w:line="276" w:lineRule="auto"/>
            </w:pPr>
            <w:r w:rsidRPr="00565E42">
              <w:rPr>
                <w:b/>
              </w:rPr>
              <w:t>E</w:t>
            </w:r>
            <w:r w:rsidR="00005712">
              <w:rPr>
                <w:b/>
              </w:rPr>
              <w:t>V</w:t>
            </w:r>
            <w:r>
              <w:t xml:space="preserve"> – E</w:t>
            </w:r>
            <w:r w:rsidR="00005712">
              <w:t xml:space="preserve">vent Processing – Analysis of source contributions </w:t>
            </w:r>
            <w:r>
              <w:t xml:space="preserve"> </w:t>
            </w:r>
          </w:p>
        </w:tc>
      </w:tr>
      <w:tr w:rsidR="00FD64CE" w:rsidRPr="00D64245" w14:paraId="32BD5FA7" w14:textId="77777777" w:rsidTr="00A72E5C">
        <w:trPr>
          <w:trHeight w:val="413"/>
        </w:trPr>
        <w:tc>
          <w:tcPr>
            <w:tcW w:w="10790" w:type="dxa"/>
            <w:shd w:val="clear" w:color="auto" w:fill="E2EFD9" w:themeFill="accent6" w:themeFillTint="33"/>
          </w:tcPr>
          <w:p w14:paraId="7F6DCF79" w14:textId="12C4AE5F" w:rsidR="00FD64CE" w:rsidRDefault="00FD64CE" w:rsidP="000F5C94">
            <w:pPr>
              <w:spacing w:before="100" w:beforeAutospacing="1" w:after="100" w:afterAutospacing="1" w:line="276" w:lineRule="auto"/>
            </w:pPr>
            <w:r>
              <w:rPr>
                <w:rFonts w:ascii="Arial Narrow" w:hAnsi="Arial Narrow"/>
                <w:b/>
                <w:sz w:val="32"/>
                <w:szCs w:val="32"/>
              </w:rPr>
              <w:t>F</w:t>
            </w:r>
          </w:p>
        </w:tc>
      </w:tr>
      <w:tr w:rsidR="00C752F9" w:rsidRPr="00D64245" w14:paraId="2A020A5B" w14:textId="77777777" w:rsidTr="00A72E5C">
        <w:trPr>
          <w:trHeight w:val="413"/>
        </w:trPr>
        <w:tc>
          <w:tcPr>
            <w:tcW w:w="10790" w:type="dxa"/>
            <w:shd w:val="clear" w:color="auto" w:fill="auto"/>
          </w:tcPr>
          <w:p w14:paraId="1A1B7271" w14:textId="64EE9679" w:rsidR="00C752F9" w:rsidRPr="00C752F9" w:rsidRDefault="00C752F9" w:rsidP="000F5C94">
            <w:pPr>
              <w:spacing w:before="240" w:line="276" w:lineRule="auto"/>
              <w:rPr>
                <w:sz w:val="24"/>
                <w:szCs w:val="24"/>
              </w:rPr>
            </w:pPr>
            <w:r>
              <w:rPr>
                <w:b/>
              </w:rPr>
              <w:lastRenderedPageBreak/>
              <w:t xml:space="preserve">Far Wake </w:t>
            </w:r>
            <w:r>
              <w:t xml:space="preserve">– Region </w:t>
            </w:r>
            <w:r>
              <w:rPr>
                <w:sz w:val="24"/>
                <w:szCs w:val="24"/>
              </w:rPr>
              <w:t>within the disturbed flow around a building or structure outside of the cavity.</w:t>
            </w:r>
          </w:p>
        </w:tc>
      </w:tr>
      <w:tr w:rsidR="00F52BAE" w:rsidRPr="00D64245" w14:paraId="00FEBA0C" w14:textId="77777777" w:rsidTr="00A72E5C">
        <w:trPr>
          <w:trHeight w:val="413"/>
        </w:trPr>
        <w:tc>
          <w:tcPr>
            <w:tcW w:w="10790" w:type="dxa"/>
            <w:shd w:val="clear" w:color="auto" w:fill="auto"/>
          </w:tcPr>
          <w:p w14:paraId="633846BD" w14:textId="48740ECC" w:rsidR="00F52BAE" w:rsidRPr="00F52BAE" w:rsidRDefault="00F52BAE" w:rsidP="000F5C94">
            <w:pPr>
              <w:spacing w:before="240" w:line="276" w:lineRule="auto"/>
              <w:rPr>
                <w:sz w:val="24"/>
                <w:szCs w:val="24"/>
              </w:rPr>
            </w:pPr>
            <w:r>
              <w:rPr>
                <w:b/>
              </w:rPr>
              <w:t xml:space="preserve">Friction Velocity </w:t>
            </w:r>
            <w:r>
              <w:t xml:space="preserve">- </w:t>
            </w:r>
            <w:r>
              <w:rPr>
                <w:sz w:val="24"/>
                <w:szCs w:val="24"/>
              </w:rPr>
              <w:t>(u</w:t>
            </w:r>
            <w:r>
              <w:rPr>
                <w:sz w:val="24"/>
                <w:szCs w:val="24"/>
                <w:vertAlign w:val="subscript"/>
              </w:rPr>
              <w:t>*</w:t>
            </w:r>
            <w:r>
              <w:rPr>
                <w:sz w:val="24"/>
                <w:szCs w:val="24"/>
              </w:rPr>
              <w:t>) Characteristic velocity of the mechanically induced turbulent eddies due to wind shear stress near the surface (on the order of 10% of the wind speed at 10m height).</w:t>
            </w:r>
          </w:p>
        </w:tc>
      </w:tr>
      <w:tr w:rsidR="00FD64CE" w:rsidRPr="00D64245" w14:paraId="173533AF" w14:textId="77777777" w:rsidTr="00A72E5C">
        <w:trPr>
          <w:trHeight w:val="413"/>
        </w:trPr>
        <w:tc>
          <w:tcPr>
            <w:tcW w:w="10790" w:type="dxa"/>
            <w:shd w:val="clear" w:color="auto" w:fill="auto"/>
          </w:tcPr>
          <w:p w14:paraId="197777A2" w14:textId="396E9103" w:rsidR="00FD64CE" w:rsidRDefault="00FD64CE" w:rsidP="000F5C94">
            <w:pPr>
              <w:spacing w:before="100" w:beforeAutospacing="1" w:after="100" w:afterAutospacing="1" w:line="276" w:lineRule="auto"/>
            </w:pPr>
            <w:r w:rsidRPr="00565E42">
              <w:rPr>
                <w:b/>
              </w:rPr>
              <w:t>F</w:t>
            </w:r>
            <w:r w:rsidR="00F52BAE">
              <w:rPr>
                <w:b/>
              </w:rPr>
              <w:t>SL</w:t>
            </w:r>
            <w:r>
              <w:t xml:space="preserve"> – </w:t>
            </w:r>
            <w:r w:rsidR="004238AA">
              <w:t>F</w:t>
            </w:r>
            <w:r w:rsidR="00F52BAE">
              <w:t>orecast Systems Laboratory</w:t>
            </w:r>
          </w:p>
        </w:tc>
      </w:tr>
      <w:tr w:rsidR="004C25D5" w:rsidRPr="00D64245" w14:paraId="4B9C7247" w14:textId="77777777" w:rsidTr="00A72E5C">
        <w:trPr>
          <w:trHeight w:val="413"/>
        </w:trPr>
        <w:tc>
          <w:tcPr>
            <w:tcW w:w="10790" w:type="dxa"/>
            <w:shd w:val="clear" w:color="auto" w:fill="auto"/>
          </w:tcPr>
          <w:p w14:paraId="619927E5" w14:textId="14869D78" w:rsidR="004C25D5" w:rsidRPr="004C25D5" w:rsidRDefault="004C25D5" w:rsidP="000F5C94">
            <w:pPr>
              <w:spacing w:before="100" w:beforeAutospacing="1" w:after="100" w:afterAutospacing="1" w:line="276" w:lineRule="auto"/>
            </w:pPr>
            <w:r>
              <w:rPr>
                <w:b/>
              </w:rPr>
              <w:t xml:space="preserve">Fumigation (or Fumigation Condition) </w:t>
            </w:r>
            <w:r>
              <w:t>– Elevated plumes released into a stable layer at night will remain elevated and highly concentrated due to light winds and the stability of the atmosphere. As the convective boundary layer height grows in the morning and reaches the height of the concentrated plume, pollutant material will be mixed rapidly (fumigated) to the surface by convective turbulence.</w:t>
            </w:r>
          </w:p>
        </w:tc>
      </w:tr>
      <w:tr w:rsidR="00FD64CE" w:rsidRPr="00D64245" w14:paraId="0BD21B21" w14:textId="77777777" w:rsidTr="00A72E5C">
        <w:trPr>
          <w:trHeight w:val="413"/>
        </w:trPr>
        <w:tc>
          <w:tcPr>
            <w:tcW w:w="10790" w:type="dxa"/>
            <w:shd w:val="clear" w:color="auto" w:fill="E2EFD9" w:themeFill="accent6" w:themeFillTint="33"/>
          </w:tcPr>
          <w:p w14:paraId="58B75203" w14:textId="4644D779" w:rsidR="00FD64CE" w:rsidRDefault="00FD64CE" w:rsidP="000F5C94">
            <w:pPr>
              <w:spacing w:before="100" w:beforeAutospacing="1" w:after="100" w:afterAutospacing="1" w:line="276" w:lineRule="auto"/>
            </w:pPr>
            <w:r>
              <w:rPr>
                <w:rFonts w:ascii="Arial Narrow" w:hAnsi="Arial Narrow"/>
                <w:b/>
                <w:sz w:val="32"/>
                <w:szCs w:val="32"/>
              </w:rPr>
              <w:t>G</w:t>
            </w:r>
          </w:p>
        </w:tc>
      </w:tr>
      <w:tr w:rsidR="0047574F" w:rsidRPr="00D64245" w14:paraId="441DB6C6" w14:textId="77777777" w:rsidTr="00A72E5C">
        <w:trPr>
          <w:trHeight w:val="413"/>
        </w:trPr>
        <w:tc>
          <w:tcPr>
            <w:tcW w:w="10790" w:type="dxa"/>
            <w:shd w:val="clear" w:color="auto" w:fill="auto"/>
          </w:tcPr>
          <w:p w14:paraId="78A3EF3C" w14:textId="03F626D4" w:rsidR="0047574F" w:rsidRPr="0047574F" w:rsidRDefault="0047574F" w:rsidP="000F5C94">
            <w:pPr>
              <w:spacing w:before="240" w:line="276" w:lineRule="auto"/>
            </w:pPr>
            <w:r>
              <w:rPr>
                <w:b/>
              </w:rPr>
              <w:t xml:space="preserve">Gaussian Plume </w:t>
            </w:r>
            <w:r>
              <w:t xml:space="preserve">– With </w:t>
            </w:r>
            <w:r>
              <w:rPr>
                <w:sz w:val="24"/>
                <w:szCs w:val="24"/>
              </w:rPr>
              <w:t>the assumptions that the flow is steady over the modeling period, that the wind speed is much greater than the turbulent diffusion along the wind directions and that the flow is homogeneous, an analytical solution to the Fickian Diffusion equation can be found in the form of a Gaussian distribution in both the vertical and lateral directions.</w:t>
            </w:r>
          </w:p>
        </w:tc>
      </w:tr>
      <w:tr w:rsidR="00FD64CE" w:rsidRPr="00D64245" w14:paraId="7A0D299A" w14:textId="77777777" w:rsidTr="00A72E5C">
        <w:trPr>
          <w:trHeight w:val="413"/>
        </w:trPr>
        <w:tc>
          <w:tcPr>
            <w:tcW w:w="10790" w:type="dxa"/>
            <w:shd w:val="clear" w:color="auto" w:fill="auto"/>
          </w:tcPr>
          <w:p w14:paraId="19AF6D9F" w14:textId="16D0DAC6" w:rsidR="00FD64CE" w:rsidRDefault="00FD64CE" w:rsidP="00576581">
            <w:pPr>
              <w:spacing w:before="100" w:beforeAutospacing="1" w:after="100" w:afterAutospacing="1" w:line="276" w:lineRule="auto"/>
            </w:pPr>
            <w:r w:rsidRPr="00565E42">
              <w:rPr>
                <w:b/>
              </w:rPr>
              <w:t>G</w:t>
            </w:r>
            <w:r w:rsidR="00F04801" w:rsidRPr="00565E42">
              <w:rPr>
                <w:b/>
              </w:rPr>
              <w:t>EP</w:t>
            </w:r>
            <w:r w:rsidR="00576581">
              <w:rPr>
                <w:b/>
              </w:rPr>
              <w:t xml:space="preserve"> </w:t>
            </w:r>
            <w:r>
              <w:t xml:space="preserve">– </w:t>
            </w:r>
            <w:r w:rsidR="00F04801">
              <w:t>Good Engineering Practice</w:t>
            </w:r>
            <w:r w:rsidR="00C4229C">
              <w:t xml:space="preserve"> </w:t>
            </w:r>
          </w:p>
        </w:tc>
      </w:tr>
      <w:tr w:rsidR="00FD64CE" w:rsidRPr="00D64245" w14:paraId="042B8E03" w14:textId="77777777" w:rsidTr="00A72E5C">
        <w:trPr>
          <w:trHeight w:val="413"/>
        </w:trPr>
        <w:tc>
          <w:tcPr>
            <w:tcW w:w="10790" w:type="dxa"/>
            <w:shd w:val="clear" w:color="auto" w:fill="auto"/>
          </w:tcPr>
          <w:p w14:paraId="71D49A2C" w14:textId="0D479B3C" w:rsidR="00FD64CE" w:rsidRDefault="00FD64CE" w:rsidP="000F5C94">
            <w:pPr>
              <w:spacing w:before="100" w:beforeAutospacing="1" w:after="100" w:afterAutospacing="1" w:line="276" w:lineRule="auto"/>
            </w:pPr>
            <w:r w:rsidRPr="00565E42">
              <w:rPr>
                <w:b/>
              </w:rPr>
              <w:t>G</w:t>
            </w:r>
            <w:r w:rsidR="00F04801" w:rsidRPr="00565E42">
              <w:rPr>
                <w:b/>
              </w:rPr>
              <w:t>HG</w:t>
            </w:r>
            <w:r>
              <w:t xml:space="preserve"> – </w:t>
            </w:r>
            <w:r w:rsidR="00F04801">
              <w:t>Greenhouse Gas</w:t>
            </w:r>
          </w:p>
        </w:tc>
      </w:tr>
      <w:tr w:rsidR="00802722" w:rsidRPr="00D64245" w14:paraId="13E73872" w14:textId="77777777" w:rsidTr="00A72E5C">
        <w:trPr>
          <w:trHeight w:val="413"/>
        </w:trPr>
        <w:tc>
          <w:tcPr>
            <w:tcW w:w="10790" w:type="dxa"/>
            <w:shd w:val="clear" w:color="auto" w:fill="auto"/>
          </w:tcPr>
          <w:p w14:paraId="50742CCB" w14:textId="08D429E2" w:rsidR="00802722" w:rsidRPr="00060AA5" w:rsidRDefault="00802722" w:rsidP="000F5C94">
            <w:pPr>
              <w:spacing w:before="100" w:beforeAutospacing="1" w:after="100" w:afterAutospacing="1" w:line="276" w:lineRule="auto"/>
            </w:pPr>
            <w:r w:rsidRPr="0029144F">
              <w:rPr>
                <w:b/>
              </w:rPr>
              <w:t xml:space="preserve">GMT </w:t>
            </w:r>
            <w:r w:rsidR="00060AA5" w:rsidRPr="0029144F">
              <w:t xml:space="preserve">– </w:t>
            </w:r>
            <w:r w:rsidR="00C4229C">
              <w:t>Greenwich Mean Time</w:t>
            </w:r>
          </w:p>
        </w:tc>
      </w:tr>
      <w:tr w:rsidR="0047574F" w:rsidRPr="00D64245" w14:paraId="06D336FF" w14:textId="77777777" w:rsidTr="00A72E5C">
        <w:trPr>
          <w:trHeight w:val="413"/>
        </w:trPr>
        <w:tc>
          <w:tcPr>
            <w:tcW w:w="10790" w:type="dxa"/>
            <w:shd w:val="clear" w:color="auto" w:fill="auto"/>
          </w:tcPr>
          <w:p w14:paraId="4B549489" w14:textId="631CA235" w:rsidR="0047574F" w:rsidRPr="0047574F" w:rsidRDefault="0047574F" w:rsidP="000F5C94">
            <w:pPr>
              <w:spacing w:before="240" w:line="276" w:lineRule="auto"/>
              <w:rPr>
                <w:sz w:val="24"/>
                <w:szCs w:val="24"/>
              </w:rPr>
            </w:pPr>
            <w:r>
              <w:rPr>
                <w:b/>
              </w:rPr>
              <w:t xml:space="preserve">Ground Heat Flux </w:t>
            </w:r>
            <w:r>
              <w:t xml:space="preserve">- </w:t>
            </w:r>
            <w:r>
              <w:rPr>
                <w:sz w:val="24"/>
                <w:szCs w:val="24"/>
              </w:rPr>
              <w:t>(G) On the order of 10% of the total net radiation.</w:t>
            </w:r>
            <w:r w:rsidR="00B267B5">
              <w:rPr>
                <w:sz w:val="24"/>
                <w:szCs w:val="24"/>
              </w:rPr>
              <w:t xml:space="preserve"> Heat absorbed by the soil that is not radiated.</w:t>
            </w:r>
          </w:p>
        </w:tc>
      </w:tr>
      <w:tr w:rsidR="00EE1DE0" w:rsidRPr="00D64245" w14:paraId="7BE4874F" w14:textId="77777777" w:rsidTr="00A72E5C">
        <w:trPr>
          <w:trHeight w:val="413"/>
        </w:trPr>
        <w:tc>
          <w:tcPr>
            <w:tcW w:w="10790" w:type="dxa"/>
            <w:shd w:val="clear" w:color="auto" w:fill="auto"/>
          </w:tcPr>
          <w:p w14:paraId="413DD36B" w14:textId="2E955DF9" w:rsidR="00EE1DE0" w:rsidRPr="00EE1DE0" w:rsidRDefault="00EE1DE0" w:rsidP="000F5C94">
            <w:pPr>
              <w:spacing w:before="240" w:line="276" w:lineRule="auto"/>
            </w:pPr>
            <w:r>
              <w:rPr>
                <w:b/>
              </w:rPr>
              <w:t xml:space="preserve">GUI </w:t>
            </w:r>
            <w:r>
              <w:t>– Graphical User Interface</w:t>
            </w:r>
          </w:p>
        </w:tc>
      </w:tr>
      <w:tr w:rsidR="00FD64CE" w:rsidRPr="00D64245" w14:paraId="194D3CAA" w14:textId="77777777" w:rsidTr="00A72E5C">
        <w:trPr>
          <w:trHeight w:val="413"/>
        </w:trPr>
        <w:tc>
          <w:tcPr>
            <w:tcW w:w="10790" w:type="dxa"/>
            <w:shd w:val="clear" w:color="auto" w:fill="E2EFD9" w:themeFill="accent6" w:themeFillTint="33"/>
          </w:tcPr>
          <w:p w14:paraId="42E654BA" w14:textId="77CBA891" w:rsidR="00FD64CE" w:rsidRDefault="00FD64CE" w:rsidP="000F5C94">
            <w:pPr>
              <w:spacing w:before="100" w:beforeAutospacing="1" w:after="100" w:afterAutospacing="1" w:line="276" w:lineRule="auto"/>
            </w:pPr>
            <w:r>
              <w:rPr>
                <w:rFonts w:ascii="Arial Narrow" w:hAnsi="Arial Narrow"/>
                <w:b/>
                <w:sz w:val="32"/>
                <w:szCs w:val="32"/>
              </w:rPr>
              <w:t>H</w:t>
            </w:r>
          </w:p>
        </w:tc>
      </w:tr>
      <w:tr w:rsidR="0029144F" w:rsidRPr="00D64245" w14:paraId="324A874B" w14:textId="77777777" w:rsidTr="00A72E5C">
        <w:trPr>
          <w:trHeight w:val="413"/>
        </w:trPr>
        <w:tc>
          <w:tcPr>
            <w:tcW w:w="10790" w:type="dxa"/>
            <w:shd w:val="clear" w:color="auto" w:fill="auto"/>
          </w:tcPr>
          <w:p w14:paraId="497540FA" w14:textId="1DADED8F" w:rsidR="0029144F" w:rsidRPr="00565E42" w:rsidRDefault="0029144F" w:rsidP="000F5C94">
            <w:pPr>
              <w:spacing w:before="100" w:beforeAutospacing="1" w:after="100" w:afterAutospacing="1" w:line="276" w:lineRule="auto"/>
              <w:rPr>
                <w:b/>
              </w:rPr>
            </w:pPr>
            <w:r>
              <w:rPr>
                <w:b/>
              </w:rPr>
              <w:t>h</w:t>
            </w:r>
            <w:r w:rsidRPr="0029144F">
              <w:rPr>
                <w:b/>
                <w:vertAlign w:val="subscript"/>
              </w:rPr>
              <w:t>c</w:t>
            </w:r>
            <w:r>
              <w:t xml:space="preserve"> – Hill Height Scale.</w:t>
            </w:r>
            <w:r>
              <w:rPr>
                <w:sz w:val="24"/>
                <w:szCs w:val="24"/>
              </w:rPr>
              <w:t xml:space="preserve"> Characterizes the height of the terrain that most dominates the flow in the vicinity of the receptor.  Calculated by AERMAP with the Digital Elevation Data.</w:t>
            </w:r>
          </w:p>
        </w:tc>
      </w:tr>
      <w:tr w:rsidR="00FD64CE" w:rsidRPr="00D64245" w14:paraId="2B00D5F5" w14:textId="77777777" w:rsidTr="00A72E5C">
        <w:trPr>
          <w:trHeight w:val="413"/>
        </w:trPr>
        <w:tc>
          <w:tcPr>
            <w:tcW w:w="10790" w:type="dxa"/>
            <w:shd w:val="clear" w:color="auto" w:fill="auto"/>
          </w:tcPr>
          <w:p w14:paraId="15564E26" w14:textId="326EAE17" w:rsidR="00FD64CE" w:rsidRDefault="00AE7732" w:rsidP="000F5C94">
            <w:pPr>
              <w:spacing w:before="100" w:beforeAutospacing="1" w:after="100" w:afterAutospacing="1" w:line="276" w:lineRule="auto"/>
            </w:pPr>
            <w:r w:rsidRPr="00565E42">
              <w:rPr>
                <w:b/>
              </w:rPr>
              <w:t>H</w:t>
            </w:r>
            <w:r w:rsidR="0029144F">
              <w:rPr>
                <w:b/>
                <w:vertAlign w:val="subscript"/>
              </w:rPr>
              <w:t>c</w:t>
            </w:r>
            <w:r>
              <w:t xml:space="preserve"> – </w:t>
            </w:r>
            <w:r w:rsidR="0029144F">
              <w:t>Effective Critical Dividing Streamline</w:t>
            </w:r>
          </w:p>
        </w:tc>
      </w:tr>
      <w:tr w:rsidR="0029144F" w:rsidRPr="00D64245" w14:paraId="29987EFE" w14:textId="77777777" w:rsidTr="00A72E5C">
        <w:trPr>
          <w:trHeight w:val="413"/>
        </w:trPr>
        <w:tc>
          <w:tcPr>
            <w:tcW w:w="10790" w:type="dxa"/>
            <w:shd w:val="clear" w:color="auto" w:fill="auto"/>
          </w:tcPr>
          <w:p w14:paraId="14AF7141" w14:textId="2896820C" w:rsidR="0029144F" w:rsidRPr="0029144F" w:rsidRDefault="0029144F" w:rsidP="000F5C94">
            <w:pPr>
              <w:spacing w:before="100" w:beforeAutospacing="1" w:after="100" w:afterAutospacing="1" w:line="276" w:lineRule="auto"/>
            </w:pPr>
            <w:r>
              <w:rPr>
                <w:b/>
              </w:rPr>
              <w:t>H</w:t>
            </w:r>
            <w:r>
              <w:rPr>
                <w:b/>
                <w:vertAlign w:val="subscript"/>
              </w:rPr>
              <w:t>GEP</w:t>
            </w:r>
            <w:r>
              <w:rPr>
                <w:b/>
              </w:rPr>
              <w:t xml:space="preserve"> </w:t>
            </w:r>
            <w:r>
              <w:t xml:space="preserve">– Good Engineering Practice Stack Height </w:t>
            </w:r>
          </w:p>
        </w:tc>
      </w:tr>
      <w:tr w:rsidR="00FD64CE" w:rsidRPr="00D64245" w14:paraId="6DE6D010" w14:textId="77777777" w:rsidTr="00A72E5C">
        <w:trPr>
          <w:trHeight w:val="413"/>
        </w:trPr>
        <w:tc>
          <w:tcPr>
            <w:tcW w:w="10790" w:type="dxa"/>
            <w:shd w:val="clear" w:color="auto" w:fill="E2EFD9" w:themeFill="accent6" w:themeFillTint="33"/>
          </w:tcPr>
          <w:p w14:paraId="4B96A939" w14:textId="5D3651A2" w:rsidR="00FD64CE" w:rsidRDefault="00FD64CE" w:rsidP="000F5C94">
            <w:pPr>
              <w:spacing w:before="100" w:beforeAutospacing="1" w:after="100" w:afterAutospacing="1" w:line="276" w:lineRule="auto"/>
            </w:pPr>
            <w:r>
              <w:rPr>
                <w:rFonts w:ascii="Arial Narrow" w:hAnsi="Arial Narrow"/>
                <w:b/>
                <w:sz w:val="32"/>
                <w:szCs w:val="32"/>
              </w:rPr>
              <w:t>I</w:t>
            </w:r>
          </w:p>
        </w:tc>
      </w:tr>
      <w:tr w:rsidR="00FD64CE" w:rsidRPr="00D64245" w14:paraId="167AACD9" w14:textId="77777777" w:rsidTr="00A72E5C">
        <w:trPr>
          <w:trHeight w:val="413"/>
        </w:trPr>
        <w:tc>
          <w:tcPr>
            <w:tcW w:w="10790" w:type="dxa"/>
            <w:shd w:val="clear" w:color="auto" w:fill="auto"/>
          </w:tcPr>
          <w:p w14:paraId="1837245C" w14:textId="6733F403" w:rsidR="00FD64CE" w:rsidRDefault="00FD64CE" w:rsidP="000F5C94">
            <w:pPr>
              <w:spacing w:before="100" w:beforeAutospacing="1" w:after="100" w:afterAutospacing="1" w:line="276" w:lineRule="auto"/>
            </w:pPr>
            <w:r w:rsidRPr="00565E42">
              <w:rPr>
                <w:b/>
              </w:rPr>
              <w:t>I</w:t>
            </w:r>
            <w:r w:rsidR="00312B1A">
              <w:rPr>
                <w:b/>
              </w:rPr>
              <w:t>BL</w:t>
            </w:r>
            <w:r>
              <w:t xml:space="preserve"> – </w:t>
            </w:r>
            <w:r w:rsidR="00312B1A">
              <w:t>Internal Boundary Layer</w:t>
            </w:r>
          </w:p>
        </w:tc>
      </w:tr>
      <w:tr w:rsidR="00312B1A" w:rsidRPr="00D64245" w14:paraId="5604D53C" w14:textId="77777777" w:rsidTr="00A72E5C">
        <w:trPr>
          <w:trHeight w:val="413"/>
        </w:trPr>
        <w:tc>
          <w:tcPr>
            <w:tcW w:w="10790" w:type="dxa"/>
            <w:shd w:val="clear" w:color="auto" w:fill="auto"/>
          </w:tcPr>
          <w:p w14:paraId="5A5DA80D" w14:textId="3FA679F2" w:rsidR="00312B1A" w:rsidRPr="00312B1A" w:rsidRDefault="00312B1A" w:rsidP="000F5C94">
            <w:pPr>
              <w:spacing w:before="240" w:line="276" w:lineRule="auto"/>
            </w:pPr>
            <w:r>
              <w:rPr>
                <w:b/>
              </w:rPr>
              <w:t xml:space="preserve">Indirect Plume </w:t>
            </w:r>
            <w:r>
              <w:t xml:space="preserve">– In </w:t>
            </w:r>
            <w:r>
              <w:rPr>
                <w:sz w:val="24"/>
                <w:szCs w:val="24"/>
              </w:rPr>
              <w:t>convective conditions, the part of the plume mass that has sufficient buoyancy to reach the top of the mixed layer where it will hesitate and spread laterally before beginning to mix back down into the mixed layer.</w:t>
            </w:r>
          </w:p>
        </w:tc>
      </w:tr>
      <w:tr w:rsidR="00844E3E" w:rsidRPr="00D64245" w14:paraId="7921F9E5" w14:textId="77777777" w:rsidTr="00A72E5C">
        <w:trPr>
          <w:trHeight w:val="413"/>
        </w:trPr>
        <w:tc>
          <w:tcPr>
            <w:tcW w:w="10790" w:type="dxa"/>
            <w:shd w:val="clear" w:color="auto" w:fill="auto"/>
          </w:tcPr>
          <w:p w14:paraId="42F982F6" w14:textId="2AE5E05E" w:rsidR="00844E3E" w:rsidRPr="00844E3E" w:rsidRDefault="00844E3E" w:rsidP="000F5C94">
            <w:pPr>
              <w:spacing w:before="240" w:line="276" w:lineRule="auto"/>
            </w:pPr>
            <w:r>
              <w:rPr>
                <w:b/>
              </w:rPr>
              <w:t xml:space="preserve">IFW </w:t>
            </w:r>
            <w:r>
              <w:t>– Ice Free Wind</w:t>
            </w:r>
          </w:p>
        </w:tc>
      </w:tr>
      <w:tr w:rsidR="00312B1A" w:rsidRPr="00D64245" w14:paraId="5AB4B43C" w14:textId="77777777" w:rsidTr="00A72E5C">
        <w:trPr>
          <w:trHeight w:val="413"/>
        </w:trPr>
        <w:tc>
          <w:tcPr>
            <w:tcW w:w="10790" w:type="dxa"/>
            <w:shd w:val="clear" w:color="auto" w:fill="auto"/>
          </w:tcPr>
          <w:p w14:paraId="38777AF4" w14:textId="1C6FBDCD" w:rsidR="00312B1A" w:rsidRPr="00844E3E" w:rsidRDefault="00312B1A" w:rsidP="000F5C94">
            <w:pPr>
              <w:spacing w:before="240" w:line="276" w:lineRule="auto"/>
              <w:rPr>
                <w:rFonts w:cstheme="minorHAnsi"/>
                <w:sz w:val="24"/>
                <w:szCs w:val="24"/>
              </w:rPr>
            </w:pPr>
            <w:r>
              <w:rPr>
                <w:b/>
              </w:rPr>
              <w:lastRenderedPageBreak/>
              <w:t xml:space="preserve">Inversion </w:t>
            </w:r>
            <w:r>
              <w:t>–</w:t>
            </w:r>
            <w:r>
              <w:rPr>
                <w:sz w:val="24"/>
                <w:szCs w:val="24"/>
              </w:rPr>
              <w:t xml:space="preserve"> When the temperature increases with height (extremely stable, cooler air trapped by a layer of warmer air above it, virtually </w:t>
            </w:r>
            <w:r w:rsidR="00844E3E">
              <w:rPr>
                <w:sz w:val="24"/>
                <w:szCs w:val="24"/>
              </w:rPr>
              <w:t xml:space="preserve">no vertical motion.) </w:t>
            </w:r>
            <w:r>
              <w:rPr>
                <w:sz w:val="24"/>
                <w:szCs w:val="24"/>
              </w:rPr>
              <w:t>Very stable layer in the atmosphere where the temperature decreases at a rate greater than the adiabatic lapse rate, i.e. faster rate than -9.8</w:t>
            </w:r>
            <w:r>
              <w:rPr>
                <w:rFonts w:cstheme="minorHAnsi"/>
                <w:sz w:val="24"/>
                <w:szCs w:val="24"/>
              </w:rPr>
              <w:t>°K/km.</w:t>
            </w:r>
          </w:p>
        </w:tc>
      </w:tr>
      <w:tr w:rsidR="00844E3E" w:rsidRPr="00D64245" w14:paraId="701F3114" w14:textId="77777777" w:rsidTr="00A72E5C">
        <w:trPr>
          <w:trHeight w:val="413"/>
        </w:trPr>
        <w:tc>
          <w:tcPr>
            <w:tcW w:w="10790" w:type="dxa"/>
            <w:shd w:val="clear" w:color="auto" w:fill="auto"/>
          </w:tcPr>
          <w:p w14:paraId="43BE21B0" w14:textId="4F43DC83" w:rsidR="00844E3E" w:rsidRPr="00844E3E" w:rsidRDefault="00844E3E" w:rsidP="000F5C94">
            <w:pPr>
              <w:spacing w:before="240" w:line="276" w:lineRule="auto"/>
            </w:pPr>
            <w:r>
              <w:rPr>
                <w:b/>
              </w:rPr>
              <w:t xml:space="preserve">ISHD </w:t>
            </w:r>
            <w:r>
              <w:t>– Integrated Surface Hourly Data</w:t>
            </w:r>
          </w:p>
        </w:tc>
      </w:tr>
      <w:tr w:rsidR="00844E3E" w:rsidRPr="00D64245" w14:paraId="7BEDC79F" w14:textId="77777777" w:rsidTr="00A72E5C">
        <w:trPr>
          <w:trHeight w:val="413"/>
        </w:trPr>
        <w:tc>
          <w:tcPr>
            <w:tcW w:w="10790" w:type="dxa"/>
            <w:shd w:val="clear" w:color="auto" w:fill="E2EFD9" w:themeFill="accent6" w:themeFillTint="33"/>
          </w:tcPr>
          <w:p w14:paraId="76DF9F43" w14:textId="18CFA5EF" w:rsidR="00844E3E" w:rsidRDefault="00844E3E" w:rsidP="000F5C94">
            <w:pPr>
              <w:spacing w:before="240" w:line="276" w:lineRule="auto"/>
              <w:rPr>
                <w:b/>
              </w:rPr>
            </w:pPr>
            <w:r>
              <w:rPr>
                <w:rFonts w:ascii="Arial Narrow" w:hAnsi="Arial Narrow"/>
                <w:b/>
                <w:sz w:val="32"/>
                <w:szCs w:val="32"/>
              </w:rPr>
              <w:t>J</w:t>
            </w:r>
          </w:p>
        </w:tc>
      </w:tr>
      <w:tr w:rsidR="001B7673" w:rsidRPr="00D64245" w14:paraId="2F4047A4" w14:textId="77777777" w:rsidTr="00A72E5C">
        <w:trPr>
          <w:trHeight w:val="413"/>
        </w:trPr>
        <w:tc>
          <w:tcPr>
            <w:tcW w:w="10790" w:type="dxa"/>
            <w:shd w:val="clear" w:color="auto" w:fill="auto"/>
          </w:tcPr>
          <w:p w14:paraId="755A962E" w14:textId="5B197B60" w:rsidR="001B7673" w:rsidRPr="00060AA5" w:rsidRDefault="001B7673" w:rsidP="000F5C94">
            <w:pPr>
              <w:spacing w:before="240" w:line="276" w:lineRule="auto"/>
              <w:rPr>
                <w:rFonts w:ascii="Arial Narrow" w:hAnsi="Arial Narrow"/>
                <w:sz w:val="32"/>
                <w:szCs w:val="32"/>
              </w:rPr>
            </w:pPr>
            <w:r w:rsidRPr="0029144F">
              <w:rPr>
                <w:b/>
              </w:rPr>
              <w:t>JOB</w:t>
            </w:r>
            <w:r w:rsidR="00060AA5" w:rsidRPr="0029144F">
              <w:rPr>
                <w:b/>
              </w:rPr>
              <w:t xml:space="preserve"> </w:t>
            </w:r>
            <w:r w:rsidR="00060AA5" w:rsidRPr="0029144F">
              <w:t xml:space="preserve">– </w:t>
            </w:r>
            <w:r w:rsidR="00C4229C">
              <w:t>Control file pathway that specifies where the AERMET messages are output.</w:t>
            </w:r>
          </w:p>
        </w:tc>
      </w:tr>
      <w:tr w:rsidR="001B7673" w:rsidRPr="00D64245" w14:paraId="128C9EAC" w14:textId="77777777" w:rsidTr="00A72E5C">
        <w:trPr>
          <w:trHeight w:val="413"/>
        </w:trPr>
        <w:tc>
          <w:tcPr>
            <w:tcW w:w="10790" w:type="dxa"/>
            <w:shd w:val="clear" w:color="auto" w:fill="E2EFD9" w:themeFill="accent6" w:themeFillTint="33"/>
          </w:tcPr>
          <w:p w14:paraId="7C34D998" w14:textId="3BDEF1F3" w:rsidR="001B7673" w:rsidRDefault="001B7673" w:rsidP="000F5C94">
            <w:pPr>
              <w:spacing w:before="240" w:line="276" w:lineRule="auto"/>
              <w:rPr>
                <w:b/>
              </w:rPr>
            </w:pPr>
            <w:r>
              <w:rPr>
                <w:rFonts w:ascii="Arial Narrow" w:hAnsi="Arial Narrow"/>
                <w:b/>
                <w:sz w:val="32"/>
                <w:szCs w:val="32"/>
              </w:rPr>
              <w:t>K</w:t>
            </w:r>
          </w:p>
        </w:tc>
      </w:tr>
      <w:tr w:rsidR="00B64448" w:rsidRPr="00D64245" w14:paraId="1D24E6ED" w14:textId="77777777" w:rsidTr="00A72E5C">
        <w:trPr>
          <w:trHeight w:val="413"/>
        </w:trPr>
        <w:tc>
          <w:tcPr>
            <w:tcW w:w="10790" w:type="dxa"/>
            <w:shd w:val="clear" w:color="auto" w:fill="auto"/>
          </w:tcPr>
          <w:p w14:paraId="420A3876" w14:textId="124B0A4E" w:rsidR="00B64448" w:rsidRPr="00B64448" w:rsidRDefault="00B64448" w:rsidP="000F5C94">
            <w:pPr>
              <w:spacing w:before="240" w:line="276" w:lineRule="auto"/>
            </w:pPr>
            <w:r>
              <w:rPr>
                <w:b/>
              </w:rPr>
              <w:t xml:space="preserve">K </w:t>
            </w:r>
            <w:r>
              <w:t>– Von Karmen Constant. A d</w:t>
            </w:r>
            <w:r>
              <w:rPr>
                <w:sz w:val="24"/>
                <w:szCs w:val="24"/>
              </w:rPr>
              <w:t>imensionless empirical constant in the log wind profile equal to 0.4.</w:t>
            </w:r>
          </w:p>
        </w:tc>
      </w:tr>
      <w:tr w:rsidR="001B7673" w:rsidRPr="00D64245" w14:paraId="5B5C79AF" w14:textId="77777777" w:rsidTr="00A72E5C">
        <w:trPr>
          <w:trHeight w:val="413"/>
        </w:trPr>
        <w:tc>
          <w:tcPr>
            <w:tcW w:w="10790" w:type="dxa"/>
            <w:shd w:val="clear" w:color="auto" w:fill="auto"/>
          </w:tcPr>
          <w:p w14:paraId="728E6242" w14:textId="7B9EF59A" w:rsidR="001B7673" w:rsidRPr="00060AA5" w:rsidRDefault="001B7673" w:rsidP="000F5C94">
            <w:pPr>
              <w:spacing w:before="240" w:line="276" w:lineRule="auto"/>
            </w:pPr>
            <w:r w:rsidRPr="0029144F">
              <w:rPr>
                <w:b/>
              </w:rPr>
              <w:t>KABE</w:t>
            </w:r>
            <w:r w:rsidR="00060AA5" w:rsidRPr="0029144F">
              <w:t xml:space="preserve"> – </w:t>
            </w:r>
            <w:r w:rsidR="00C4229C">
              <w:t>Allentown PA airport meteorology site.</w:t>
            </w:r>
          </w:p>
        </w:tc>
      </w:tr>
      <w:tr w:rsidR="00FD64CE" w:rsidRPr="00D64245" w14:paraId="5ED8A8B9" w14:textId="77777777" w:rsidTr="00A72E5C">
        <w:trPr>
          <w:trHeight w:val="413"/>
        </w:trPr>
        <w:tc>
          <w:tcPr>
            <w:tcW w:w="10790" w:type="dxa"/>
            <w:shd w:val="clear" w:color="auto" w:fill="E2EFD9" w:themeFill="accent6" w:themeFillTint="33"/>
          </w:tcPr>
          <w:p w14:paraId="6B1D51D1" w14:textId="7778537D" w:rsidR="00FD64CE" w:rsidRDefault="00FD64CE" w:rsidP="000F5C94">
            <w:pPr>
              <w:spacing w:before="100" w:beforeAutospacing="1" w:after="100" w:afterAutospacing="1" w:line="276" w:lineRule="auto"/>
            </w:pPr>
            <w:r>
              <w:rPr>
                <w:rFonts w:ascii="Arial Narrow" w:hAnsi="Arial Narrow"/>
                <w:b/>
                <w:sz w:val="32"/>
                <w:szCs w:val="32"/>
              </w:rPr>
              <w:t>L</w:t>
            </w:r>
          </w:p>
        </w:tc>
      </w:tr>
      <w:tr w:rsidR="00FF4921" w:rsidRPr="00D64245" w14:paraId="10071255" w14:textId="77777777" w:rsidTr="00A72E5C">
        <w:trPr>
          <w:trHeight w:val="413"/>
        </w:trPr>
        <w:tc>
          <w:tcPr>
            <w:tcW w:w="10790" w:type="dxa"/>
            <w:shd w:val="clear" w:color="auto" w:fill="auto"/>
          </w:tcPr>
          <w:p w14:paraId="76149E3A" w14:textId="5306453F" w:rsidR="00FF4921" w:rsidRPr="00452A7E" w:rsidRDefault="00FF4921" w:rsidP="000F5C94">
            <w:pPr>
              <w:spacing w:before="240" w:line="276" w:lineRule="auto"/>
              <w:rPr>
                <w:sz w:val="24"/>
                <w:szCs w:val="24"/>
              </w:rPr>
            </w:pPr>
            <w:r>
              <w:rPr>
                <w:b/>
              </w:rPr>
              <w:t xml:space="preserve">L </w:t>
            </w:r>
            <w:r>
              <w:t>– Monin Obukhov Length</w:t>
            </w:r>
            <w:r w:rsidR="00452A7E">
              <w:rPr>
                <w:sz w:val="24"/>
                <w:szCs w:val="24"/>
              </w:rPr>
              <w:t>. The height in the surface layer where turbulence produced by buoyancy is equal to that produced by wind shear. Serves as a stability parameter. In stable conditions, L is positive.  In unstable (convective) conditions it is negative.</w:t>
            </w:r>
          </w:p>
        </w:tc>
      </w:tr>
      <w:tr w:rsidR="00CB197D" w:rsidRPr="00D64245" w14:paraId="543DB377" w14:textId="77777777" w:rsidTr="00A72E5C">
        <w:trPr>
          <w:trHeight w:val="413"/>
        </w:trPr>
        <w:tc>
          <w:tcPr>
            <w:tcW w:w="10790" w:type="dxa"/>
            <w:shd w:val="clear" w:color="auto" w:fill="auto"/>
          </w:tcPr>
          <w:p w14:paraId="3B58AEFB" w14:textId="0A7D15A0" w:rsidR="00CB197D" w:rsidRPr="0056622F" w:rsidRDefault="001E241E" w:rsidP="000F5C94">
            <w:pPr>
              <w:spacing w:before="240" w:line="276" w:lineRule="auto"/>
              <w:rPr>
                <w:sz w:val="24"/>
                <w:szCs w:val="24"/>
              </w:rPr>
            </w:pPr>
            <w:r w:rsidRPr="001E241E">
              <w:rPr>
                <w:b/>
              </w:rPr>
              <w:t>L</w:t>
            </w:r>
            <w:r w:rsidR="0056622F">
              <w:rPr>
                <w:b/>
              </w:rPr>
              <w:t>atent Heat Flux</w:t>
            </w:r>
            <w:r>
              <w:t xml:space="preserve"> – </w:t>
            </w:r>
            <w:r w:rsidR="0056622F">
              <w:rPr>
                <w:sz w:val="24"/>
                <w:szCs w:val="24"/>
              </w:rPr>
              <w:t xml:space="preserve">(L) </w:t>
            </w:r>
            <w:r w:rsidR="0056622F" w:rsidRPr="0004346D">
              <w:rPr>
                <w:sz w:val="24"/>
                <w:szCs w:val="24"/>
              </w:rPr>
              <w:t>the flux of energy from the Earth's surface to the atmosphere that is associated with evaporation or transpiration of water at the surface</w:t>
            </w:r>
            <w:r w:rsidR="0056622F">
              <w:rPr>
                <w:sz w:val="24"/>
                <w:szCs w:val="24"/>
              </w:rPr>
              <w:t xml:space="preserve"> and subsequent condensation of water vapor in the troposphere.  Usually denoted by LE to prevent confusion with Monin Obukhov Length which is also L.</w:t>
            </w:r>
          </w:p>
        </w:tc>
      </w:tr>
      <w:tr w:rsidR="00452A7E" w:rsidRPr="00D64245" w14:paraId="1394F3EA" w14:textId="77777777" w:rsidTr="00A72E5C">
        <w:trPr>
          <w:trHeight w:val="413"/>
        </w:trPr>
        <w:tc>
          <w:tcPr>
            <w:tcW w:w="10790" w:type="dxa"/>
            <w:shd w:val="clear" w:color="auto" w:fill="auto"/>
          </w:tcPr>
          <w:p w14:paraId="3E45B747" w14:textId="323607AA" w:rsidR="00452A7E" w:rsidRPr="00452A7E" w:rsidRDefault="00452A7E" w:rsidP="000F5C94">
            <w:pPr>
              <w:spacing w:before="240" w:line="276" w:lineRule="auto"/>
            </w:pPr>
            <w:r>
              <w:rPr>
                <w:b/>
              </w:rPr>
              <w:t xml:space="preserve">Log Wind Profile </w:t>
            </w:r>
            <w:r>
              <w:t xml:space="preserve">– Logarithmic </w:t>
            </w:r>
            <w:r>
              <w:rPr>
                <w:sz w:val="24"/>
                <w:szCs w:val="24"/>
              </w:rPr>
              <w:t>relationship between mean wind speed and height in the surface layer of the atmosphere.</w:t>
            </w:r>
          </w:p>
        </w:tc>
      </w:tr>
      <w:tr w:rsidR="00FD64CE" w:rsidRPr="00D64245" w14:paraId="61311449" w14:textId="77777777" w:rsidTr="00A72E5C">
        <w:trPr>
          <w:trHeight w:val="413"/>
        </w:trPr>
        <w:tc>
          <w:tcPr>
            <w:tcW w:w="10790" w:type="dxa"/>
            <w:shd w:val="clear" w:color="auto" w:fill="E2EFD9" w:themeFill="accent6" w:themeFillTint="33"/>
          </w:tcPr>
          <w:p w14:paraId="125EFD88" w14:textId="7C88A693" w:rsidR="00FD64CE" w:rsidRDefault="00FD64CE" w:rsidP="000F5C94">
            <w:pPr>
              <w:spacing w:before="100" w:beforeAutospacing="1" w:after="100" w:afterAutospacing="1" w:line="276" w:lineRule="auto"/>
            </w:pPr>
            <w:r>
              <w:rPr>
                <w:rFonts w:ascii="Arial Narrow" w:hAnsi="Arial Narrow"/>
                <w:b/>
                <w:sz w:val="32"/>
                <w:szCs w:val="32"/>
              </w:rPr>
              <w:t>M</w:t>
            </w:r>
          </w:p>
        </w:tc>
      </w:tr>
      <w:tr w:rsidR="00E24603" w:rsidRPr="00D64245" w14:paraId="5186CF52" w14:textId="77777777" w:rsidTr="00A72E5C">
        <w:trPr>
          <w:trHeight w:val="413"/>
        </w:trPr>
        <w:tc>
          <w:tcPr>
            <w:tcW w:w="10790" w:type="dxa"/>
            <w:shd w:val="clear" w:color="auto" w:fill="auto"/>
          </w:tcPr>
          <w:p w14:paraId="605C571D" w14:textId="30CA5092" w:rsidR="00E24603" w:rsidRPr="00E24603" w:rsidRDefault="00E24603" w:rsidP="000F5C94">
            <w:pPr>
              <w:spacing w:before="240" w:line="276" w:lineRule="auto"/>
            </w:pPr>
            <w:r>
              <w:rPr>
                <w:b/>
              </w:rPr>
              <w:t xml:space="preserve">MAKEMET </w:t>
            </w:r>
            <w:r>
              <w:t>– The MAKEMET program interfaces with AERSCREEN to generate a site-specific matrix of screening meteorological conditions based on user inputs for input into the AERMOD model.</w:t>
            </w:r>
          </w:p>
        </w:tc>
      </w:tr>
      <w:tr w:rsidR="007F38E6" w:rsidRPr="00D64245" w14:paraId="31E6B078" w14:textId="77777777" w:rsidTr="00A72E5C">
        <w:trPr>
          <w:trHeight w:val="413"/>
        </w:trPr>
        <w:tc>
          <w:tcPr>
            <w:tcW w:w="10790" w:type="dxa"/>
            <w:shd w:val="clear" w:color="auto" w:fill="auto"/>
          </w:tcPr>
          <w:p w14:paraId="583CDC92" w14:textId="10D1E53F" w:rsidR="007F38E6" w:rsidRPr="007F38E6" w:rsidRDefault="007F38E6" w:rsidP="000F5C94">
            <w:pPr>
              <w:spacing w:before="240" w:line="276" w:lineRule="auto"/>
            </w:pPr>
            <w:r>
              <w:rPr>
                <w:b/>
              </w:rPr>
              <w:t xml:space="preserve">ME </w:t>
            </w:r>
            <w:r>
              <w:t xml:space="preserve">– Meteorology – AERMET generated input files </w:t>
            </w:r>
          </w:p>
        </w:tc>
      </w:tr>
      <w:tr w:rsidR="007D4BF3" w:rsidRPr="00D64245" w14:paraId="4F17D6E4" w14:textId="77777777" w:rsidTr="00A72E5C">
        <w:trPr>
          <w:trHeight w:val="413"/>
        </w:trPr>
        <w:tc>
          <w:tcPr>
            <w:tcW w:w="10790" w:type="dxa"/>
            <w:shd w:val="clear" w:color="auto" w:fill="auto"/>
          </w:tcPr>
          <w:p w14:paraId="227073D1" w14:textId="58084B62" w:rsidR="007D4BF3" w:rsidRPr="007D4BF3" w:rsidRDefault="007D4BF3" w:rsidP="000F5C94">
            <w:pPr>
              <w:spacing w:before="240" w:line="276" w:lineRule="auto"/>
              <w:rPr>
                <w:sz w:val="24"/>
                <w:szCs w:val="24"/>
              </w:rPr>
            </w:pPr>
            <w:r>
              <w:rPr>
                <w:b/>
              </w:rPr>
              <w:t xml:space="preserve">Mechanical Mixed Layer </w:t>
            </w:r>
            <w:r>
              <w:t xml:space="preserve">- </w:t>
            </w:r>
            <w:r>
              <w:rPr>
                <w:sz w:val="24"/>
                <w:szCs w:val="24"/>
              </w:rPr>
              <w:t>(z</w:t>
            </w:r>
            <w:r>
              <w:rPr>
                <w:sz w:val="24"/>
                <w:szCs w:val="24"/>
                <w:vertAlign w:val="subscript"/>
              </w:rPr>
              <w:t>im</w:t>
            </w:r>
            <w:r>
              <w:rPr>
                <w:sz w:val="24"/>
                <w:szCs w:val="24"/>
              </w:rPr>
              <w:t xml:space="preserve">) </w:t>
            </w:r>
            <w:r w:rsidR="00293995">
              <w:rPr>
                <w:sz w:val="24"/>
                <w:szCs w:val="24"/>
              </w:rPr>
              <w:t xml:space="preserve">for </w:t>
            </w:r>
            <w:r>
              <w:rPr>
                <w:sz w:val="24"/>
                <w:szCs w:val="24"/>
              </w:rPr>
              <w:t xml:space="preserve">all </w:t>
            </w:r>
            <w:r w:rsidR="00293995">
              <w:rPr>
                <w:sz w:val="24"/>
                <w:szCs w:val="24"/>
              </w:rPr>
              <w:t xml:space="preserve">stability </w:t>
            </w:r>
            <w:r>
              <w:rPr>
                <w:sz w:val="24"/>
                <w:szCs w:val="24"/>
              </w:rPr>
              <w:t>conditions, the turbulent layer in the surface influence by wind shear due to drag at the surface (also know</w:t>
            </w:r>
            <w:r w:rsidR="0029144F">
              <w:rPr>
                <w:sz w:val="24"/>
                <w:szCs w:val="24"/>
              </w:rPr>
              <w:t>n</w:t>
            </w:r>
            <w:r>
              <w:rPr>
                <w:sz w:val="24"/>
                <w:szCs w:val="24"/>
              </w:rPr>
              <w:t xml:space="preserve"> as mechanical mixing height).</w:t>
            </w:r>
          </w:p>
        </w:tc>
      </w:tr>
      <w:tr w:rsidR="007D4BF3" w:rsidRPr="00D64245" w14:paraId="0D8A497D" w14:textId="77777777" w:rsidTr="00A72E5C">
        <w:trPr>
          <w:trHeight w:val="413"/>
        </w:trPr>
        <w:tc>
          <w:tcPr>
            <w:tcW w:w="10790" w:type="dxa"/>
            <w:shd w:val="clear" w:color="auto" w:fill="auto"/>
          </w:tcPr>
          <w:p w14:paraId="1660758C" w14:textId="6AFAFBA1" w:rsidR="007D4BF3" w:rsidRPr="007D4BF3" w:rsidRDefault="007D4BF3" w:rsidP="000F5C94">
            <w:pPr>
              <w:spacing w:before="240" w:line="276" w:lineRule="auto"/>
              <w:rPr>
                <w:sz w:val="24"/>
                <w:szCs w:val="24"/>
              </w:rPr>
            </w:pPr>
            <w:r>
              <w:rPr>
                <w:b/>
              </w:rPr>
              <w:t xml:space="preserve">Mechanical Turbulence </w:t>
            </w:r>
            <w:r>
              <w:t xml:space="preserve">– Atmospheric </w:t>
            </w:r>
            <w:r>
              <w:rPr>
                <w:sz w:val="24"/>
                <w:szCs w:val="24"/>
              </w:rPr>
              <w:t>turbulence driven primarily by wind shear effects due to drag at the surface.</w:t>
            </w:r>
          </w:p>
        </w:tc>
      </w:tr>
      <w:tr w:rsidR="007D4BF3" w:rsidRPr="00D64245" w14:paraId="556488A8" w14:textId="77777777" w:rsidTr="00A72E5C">
        <w:trPr>
          <w:trHeight w:val="413"/>
        </w:trPr>
        <w:tc>
          <w:tcPr>
            <w:tcW w:w="10790" w:type="dxa"/>
            <w:shd w:val="clear" w:color="auto" w:fill="auto"/>
          </w:tcPr>
          <w:p w14:paraId="7450A8B1" w14:textId="1CB0765B" w:rsidR="007D4BF3" w:rsidRPr="007D4BF3" w:rsidRDefault="00EE3FC3" w:rsidP="000F5C94">
            <w:pPr>
              <w:spacing w:before="240" w:line="276" w:lineRule="auto"/>
              <w:rPr>
                <w:sz w:val="24"/>
                <w:szCs w:val="24"/>
              </w:rPr>
            </w:pPr>
            <w:r>
              <w:rPr>
                <w:b/>
              </w:rPr>
              <w:lastRenderedPageBreak/>
              <w:t xml:space="preserve">Convective </w:t>
            </w:r>
            <w:r w:rsidR="007D4BF3">
              <w:rPr>
                <w:b/>
              </w:rPr>
              <w:t xml:space="preserve">Mixed Layer </w:t>
            </w:r>
            <w:r w:rsidR="007D4BF3">
              <w:t xml:space="preserve">– </w:t>
            </w:r>
            <w:r w:rsidR="007D4BF3">
              <w:rPr>
                <w:sz w:val="24"/>
                <w:szCs w:val="24"/>
              </w:rPr>
              <w:t>(z</w:t>
            </w:r>
            <w:r w:rsidR="007D4BF3">
              <w:rPr>
                <w:sz w:val="24"/>
                <w:szCs w:val="24"/>
                <w:vertAlign w:val="subscript"/>
              </w:rPr>
              <w:t>ic</w:t>
            </w:r>
            <w:r w:rsidR="007D4BF3">
              <w:rPr>
                <w:sz w:val="24"/>
                <w:szCs w:val="24"/>
              </w:rPr>
              <w:t>) In convective conditions, the layer above the surface layer that is highly turbulent and pollution is well mixed do to the large convectively driven thermals (also known as the convective mixing height).</w:t>
            </w:r>
          </w:p>
        </w:tc>
      </w:tr>
      <w:tr w:rsidR="007F38E6" w:rsidRPr="00D64245" w14:paraId="069841A5" w14:textId="77777777" w:rsidTr="00A72E5C">
        <w:trPr>
          <w:trHeight w:val="413"/>
        </w:trPr>
        <w:tc>
          <w:tcPr>
            <w:tcW w:w="10790" w:type="dxa"/>
            <w:shd w:val="clear" w:color="auto" w:fill="auto"/>
          </w:tcPr>
          <w:p w14:paraId="44AB9C4E" w14:textId="5140C0F2" w:rsidR="007F38E6" w:rsidRPr="007F38E6" w:rsidRDefault="007F38E6" w:rsidP="000F5C94">
            <w:pPr>
              <w:spacing w:before="240" w:line="276" w:lineRule="auto"/>
            </w:pPr>
            <w:r>
              <w:rPr>
                <w:b/>
              </w:rPr>
              <w:t xml:space="preserve">Mixing Height </w:t>
            </w:r>
            <w:r>
              <w:t>– ( Z</w:t>
            </w:r>
            <w:r w:rsidRPr="007F38E6">
              <w:rPr>
                <w:vertAlign w:val="subscript"/>
              </w:rPr>
              <w:t>i</w:t>
            </w:r>
            <w:r>
              <w:t xml:space="preserve">) The Mixing Height is the height of vertical mixing of air and suspended particles above the ground. The height is determined by the observation of the atmospheric temperature profile. A parcel of air rising from the surface of the Earth will rise at a given rate (called the dry-adiabatic lapse rate.) </w:t>
            </w:r>
          </w:p>
        </w:tc>
      </w:tr>
      <w:tr w:rsidR="007D4BF3" w:rsidRPr="00D64245" w14:paraId="4DDA33EB" w14:textId="77777777" w:rsidTr="00A72E5C">
        <w:trPr>
          <w:trHeight w:val="413"/>
        </w:trPr>
        <w:tc>
          <w:tcPr>
            <w:tcW w:w="10790" w:type="dxa"/>
            <w:shd w:val="clear" w:color="auto" w:fill="auto"/>
          </w:tcPr>
          <w:p w14:paraId="3134B395" w14:textId="3C36F5A8" w:rsidR="007D4BF3" w:rsidRPr="007D4BF3" w:rsidRDefault="007D4BF3" w:rsidP="000F5C94">
            <w:pPr>
              <w:spacing w:before="240" w:line="276" w:lineRule="auto"/>
            </w:pPr>
            <w:r w:rsidRPr="0029144F">
              <w:rPr>
                <w:b/>
              </w:rPr>
              <w:t xml:space="preserve">MM5 </w:t>
            </w:r>
            <w:r w:rsidRPr="0029144F">
              <w:t xml:space="preserve">– </w:t>
            </w:r>
            <w:r w:rsidR="001F17B6">
              <w:t>Mesoscale meteorological prognostic model</w:t>
            </w:r>
          </w:p>
        </w:tc>
      </w:tr>
      <w:tr w:rsidR="00995E46" w:rsidRPr="00D64245" w14:paraId="097518C2" w14:textId="77777777" w:rsidTr="00A72E5C">
        <w:trPr>
          <w:trHeight w:val="413"/>
        </w:trPr>
        <w:tc>
          <w:tcPr>
            <w:tcW w:w="10790" w:type="dxa"/>
            <w:shd w:val="clear" w:color="auto" w:fill="auto"/>
          </w:tcPr>
          <w:p w14:paraId="55FDECDF" w14:textId="30EA15ED" w:rsidR="00995E46" w:rsidRPr="00995E46" w:rsidRDefault="00995E46" w:rsidP="000F5C94">
            <w:pPr>
              <w:spacing w:before="240" w:line="276" w:lineRule="auto"/>
            </w:pPr>
            <w:r>
              <w:rPr>
                <w:b/>
              </w:rPr>
              <w:t xml:space="preserve">MMIF </w:t>
            </w:r>
            <w:r>
              <w:t>– Mesoscale Model Interface Program</w:t>
            </w:r>
          </w:p>
        </w:tc>
      </w:tr>
      <w:tr w:rsidR="00FD64CE" w:rsidRPr="00D64245" w14:paraId="35E26DA4" w14:textId="77777777" w:rsidTr="00A72E5C">
        <w:trPr>
          <w:trHeight w:val="413"/>
        </w:trPr>
        <w:tc>
          <w:tcPr>
            <w:tcW w:w="10790" w:type="dxa"/>
            <w:shd w:val="clear" w:color="auto" w:fill="auto"/>
          </w:tcPr>
          <w:p w14:paraId="72976AA0" w14:textId="59476072" w:rsidR="00FD64CE" w:rsidRPr="00995E46" w:rsidRDefault="00FD64CE" w:rsidP="000F5C94">
            <w:pPr>
              <w:spacing w:before="240" w:line="276" w:lineRule="auto"/>
              <w:rPr>
                <w:sz w:val="24"/>
                <w:szCs w:val="24"/>
              </w:rPr>
            </w:pPr>
            <w:r w:rsidRPr="00056F0B">
              <w:rPr>
                <w:b/>
              </w:rPr>
              <w:t>M</w:t>
            </w:r>
            <w:r w:rsidR="00995E46">
              <w:rPr>
                <w:b/>
              </w:rPr>
              <w:t xml:space="preserve">onin-Obukhov Length </w:t>
            </w:r>
            <w:r>
              <w:t xml:space="preserve">– </w:t>
            </w:r>
            <w:r w:rsidR="00995E46">
              <w:t xml:space="preserve">(L) </w:t>
            </w:r>
            <w:r w:rsidR="00995E46">
              <w:rPr>
                <w:sz w:val="24"/>
                <w:szCs w:val="24"/>
              </w:rPr>
              <w:t>The height in the surface layer where turbulence produced by buoyancy is equal to that produced by wind shear. Serves as a stability parameter. In stable conditions, L is positive.  In unstable (convective) conditions it is negative.</w:t>
            </w:r>
          </w:p>
        </w:tc>
      </w:tr>
      <w:tr w:rsidR="00FB39BC" w:rsidRPr="00D64245" w14:paraId="20A1BA19" w14:textId="77777777" w:rsidTr="00A72E5C">
        <w:trPr>
          <w:trHeight w:val="413"/>
        </w:trPr>
        <w:tc>
          <w:tcPr>
            <w:tcW w:w="10790" w:type="dxa"/>
            <w:shd w:val="clear" w:color="auto" w:fill="auto"/>
          </w:tcPr>
          <w:p w14:paraId="6F6F6C7C" w14:textId="634D7C31" w:rsidR="00FB39BC" w:rsidRPr="00056F0B" w:rsidRDefault="00FB39BC" w:rsidP="000F5C94">
            <w:pPr>
              <w:spacing w:before="240" w:line="276" w:lineRule="auto"/>
              <w:rPr>
                <w:b/>
              </w:rPr>
            </w:pPr>
            <w:r>
              <w:rPr>
                <w:b/>
              </w:rPr>
              <w:t xml:space="preserve">MPRV – </w:t>
            </w:r>
            <w:r w:rsidRPr="00364993">
              <w:rPr>
                <w:bCs/>
              </w:rPr>
              <w:t>Impervious surface data (from USGS)</w:t>
            </w:r>
          </w:p>
        </w:tc>
      </w:tr>
      <w:tr w:rsidR="00FB39BC" w:rsidRPr="00D64245" w14:paraId="263BF175" w14:textId="77777777" w:rsidTr="00A72E5C">
        <w:trPr>
          <w:trHeight w:val="413"/>
        </w:trPr>
        <w:tc>
          <w:tcPr>
            <w:tcW w:w="10790" w:type="dxa"/>
            <w:shd w:val="clear" w:color="auto" w:fill="auto"/>
          </w:tcPr>
          <w:p w14:paraId="62B71F63" w14:textId="75675414" w:rsidR="00FB39BC" w:rsidRPr="00056F0B" w:rsidRDefault="00FB39BC" w:rsidP="000F5C94">
            <w:pPr>
              <w:spacing w:before="240" w:line="276" w:lineRule="auto"/>
              <w:rPr>
                <w:b/>
              </w:rPr>
            </w:pPr>
            <w:r>
              <w:rPr>
                <w:b/>
              </w:rPr>
              <w:t xml:space="preserve">MRLC – </w:t>
            </w:r>
            <w:r w:rsidRPr="00364993">
              <w:rPr>
                <w:bCs/>
              </w:rPr>
              <w:t>Multi-Resolution Land Characteristics (from USGS)</w:t>
            </w:r>
          </w:p>
        </w:tc>
      </w:tr>
      <w:tr w:rsidR="00FD64CE" w:rsidRPr="00D64245" w14:paraId="33CB1276" w14:textId="77777777" w:rsidTr="00A72E5C">
        <w:trPr>
          <w:trHeight w:val="413"/>
        </w:trPr>
        <w:tc>
          <w:tcPr>
            <w:tcW w:w="10790" w:type="dxa"/>
            <w:shd w:val="clear" w:color="auto" w:fill="E2EFD9" w:themeFill="accent6" w:themeFillTint="33"/>
          </w:tcPr>
          <w:p w14:paraId="2A4853FE" w14:textId="05D6BF4D" w:rsidR="00FD64CE" w:rsidRDefault="00FD64CE" w:rsidP="000F5C94">
            <w:pPr>
              <w:spacing w:before="100" w:beforeAutospacing="1" w:after="100" w:afterAutospacing="1" w:line="276" w:lineRule="auto"/>
            </w:pPr>
            <w:r>
              <w:rPr>
                <w:rFonts w:ascii="Arial Narrow" w:hAnsi="Arial Narrow"/>
                <w:b/>
                <w:sz w:val="32"/>
                <w:szCs w:val="32"/>
              </w:rPr>
              <w:t>N</w:t>
            </w:r>
          </w:p>
        </w:tc>
      </w:tr>
      <w:tr w:rsidR="00A869F3" w:rsidRPr="00D64245" w14:paraId="53DC0E9A" w14:textId="77777777" w:rsidTr="00A72E5C">
        <w:trPr>
          <w:trHeight w:val="413"/>
        </w:trPr>
        <w:tc>
          <w:tcPr>
            <w:tcW w:w="10790" w:type="dxa"/>
            <w:shd w:val="clear" w:color="auto" w:fill="auto"/>
          </w:tcPr>
          <w:p w14:paraId="697F4DE4" w14:textId="292CA26D" w:rsidR="00D5789C" w:rsidRDefault="00A869F3" w:rsidP="000F5C94">
            <w:pPr>
              <w:spacing w:before="100" w:beforeAutospacing="1" w:after="100" w:afterAutospacing="1" w:line="276" w:lineRule="auto"/>
            </w:pPr>
            <w:r w:rsidRPr="003B3E84">
              <w:rPr>
                <w:b/>
              </w:rPr>
              <w:t>NAAQS</w:t>
            </w:r>
            <w:r>
              <w:t xml:space="preserve"> – National Ambient Air Quality Standards</w:t>
            </w:r>
          </w:p>
        </w:tc>
      </w:tr>
      <w:tr w:rsidR="00EC7837" w:rsidRPr="00D64245" w14:paraId="51D09277" w14:textId="77777777" w:rsidTr="00A72E5C">
        <w:trPr>
          <w:trHeight w:val="413"/>
        </w:trPr>
        <w:tc>
          <w:tcPr>
            <w:tcW w:w="10790" w:type="dxa"/>
            <w:shd w:val="clear" w:color="auto" w:fill="auto"/>
          </w:tcPr>
          <w:p w14:paraId="1D43EC65" w14:textId="2A088CC5" w:rsidR="00EC7837" w:rsidRDefault="00EC7837" w:rsidP="000F5C94">
            <w:pPr>
              <w:spacing w:before="100" w:beforeAutospacing="1" w:after="100" w:afterAutospacing="1" w:line="276" w:lineRule="auto"/>
            </w:pPr>
            <w:r w:rsidRPr="003B3E84">
              <w:rPr>
                <w:b/>
              </w:rPr>
              <w:t>N</w:t>
            </w:r>
            <w:r w:rsidR="008B6080">
              <w:rPr>
                <w:b/>
              </w:rPr>
              <w:t>CDC</w:t>
            </w:r>
            <w:r>
              <w:t xml:space="preserve"> – </w:t>
            </w:r>
            <w:r w:rsidR="008B6080">
              <w:t xml:space="preserve">National Climate Data Center </w:t>
            </w:r>
          </w:p>
        </w:tc>
      </w:tr>
      <w:tr w:rsidR="00EC7837" w:rsidRPr="00D64245" w14:paraId="002C8D85" w14:textId="77777777" w:rsidTr="00A72E5C">
        <w:trPr>
          <w:trHeight w:val="413"/>
        </w:trPr>
        <w:tc>
          <w:tcPr>
            <w:tcW w:w="10790" w:type="dxa"/>
            <w:shd w:val="clear" w:color="auto" w:fill="auto"/>
          </w:tcPr>
          <w:p w14:paraId="40A11EEF" w14:textId="09C6007E" w:rsidR="00EC7837" w:rsidRDefault="00EC7837" w:rsidP="000F5C94">
            <w:pPr>
              <w:spacing w:before="100" w:beforeAutospacing="1" w:after="100" w:afterAutospacing="1" w:line="276" w:lineRule="auto"/>
            </w:pPr>
            <w:r w:rsidRPr="003B3E84">
              <w:rPr>
                <w:b/>
              </w:rPr>
              <w:t>N</w:t>
            </w:r>
            <w:r w:rsidR="008B6080">
              <w:rPr>
                <w:b/>
              </w:rPr>
              <w:t>ED</w:t>
            </w:r>
            <w:r>
              <w:t xml:space="preserve"> – </w:t>
            </w:r>
            <w:r w:rsidR="008B6080">
              <w:t>National Elevation Data</w:t>
            </w:r>
          </w:p>
        </w:tc>
      </w:tr>
      <w:tr w:rsidR="004C25D5" w:rsidRPr="00D64245" w14:paraId="21787FCD" w14:textId="77777777" w:rsidTr="00A72E5C">
        <w:trPr>
          <w:trHeight w:val="413"/>
        </w:trPr>
        <w:tc>
          <w:tcPr>
            <w:tcW w:w="10790" w:type="dxa"/>
            <w:shd w:val="clear" w:color="auto" w:fill="auto"/>
          </w:tcPr>
          <w:p w14:paraId="0CCFF862" w14:textId="7C0FEA23" w:rsidR="004C25D5" w:rsidRPr="004C25D5" w:rsidRDefault="004C25D5" w:rsidP="000F5C94">
            <w:pPr>
              <w:spacing w:before="100" w:beforeAutospacing="1" w:after="100" w:afterAutospacing="1" w:line="276" w:lineRule="auto"/>
            </w:pPr>
            <w:r>
              <w:rPr>
                <w:b/>
              </w:rPr>
              <w:t xml:space="preserve">NED File </w:t>
            </w:r>
            <w:r>
              <w:t>– Network Definition file is a software package used for building network simulators, stores the network topology structure, used for describing the logical structure of the network that will be simulated in the software.</w:t>
            </w:r>
          </w:p>
        </w:tc>
      </w:tr>
      <w:tr w:rsidR="003B3E84" w:rsidRPr="00D64245" w14:paraId="6AD1B40F" w14:textId="77777777" w:rsidTr="00A72E5C">
        <w:trPr>
          <w:trHeight w:val="413"/>
        </w:trPr>
        <w:tc>
          <w:tcPr>
            <w:tcW w:w="10790" w:type="dxa"/>
            <w:shd w:val="clear" w:color="auto" w:fill="auto"/>
          </w:tcPr>
          <w:p w14:paraId="0F0FC3A8" w14:textId="0961D0ED" w:rsidR="003B3E84" w:rsidRPr="008B6080" w:rsidRDefault="003B3E84" w:rsidP="000F5C94">
            <w:pPr>
              <w:spacing w:before="240" w:line="276" w:lineRule="auto"/>
              <w:rPr>
                <w:sz w:val="24"/>
                <w:szCs w:val="24"/>
              </w:rPr>
            </w:pPr>
            <w:r>
              <w:rPr>
                <w:b/>
              </w:rPr>
              <w:t>N</w:t>
            </w:r>
            <w:r w:rsidR="008B6080">
              <w:rPr>
                <w:b/>
              </w:rPr>
              <w:t>et Radiation</w:t>
            </w:r>
            <w:r>
              <w:rPr>
                <w:b/>
              </w:rPr>
              <w:t xml:space="preserve"> </w:t>
            </w:r>
            <w:r w:rsidRPr="003B3E84">
              <w:t xml:space="preserve">– </w:t>
            </w:r>
            <w:r w:rsidR="008B6080">
              <w:rPr>
                <w:sz w:val="24"/>
                <w:szCs w:val="24"/>
              </w:rPr>
              <w:t>(R</w:t>
            </w:r>
            <w:r w:rsidR="008B6080">
              <w:rPr>
                <w:sz w:val="24"/>
                <w:szCs w:val="24"/>
                <w:vertAlign w:val="subscript"/>
              </w:rPr>
              <w:t>N</w:t>
            </w:r>
            <w:r w:rsidR="008B6080">
              <w:rPr>
                <w:sz w:val="24"/>
                <w:szCs w:val="24"/>
              </w:rPr>
              <w:t>) The sum of the sensible, latent and ground heat fluxes.</w:t>
            </w:r>
          </w:p>
        </w:tc>
      </w:tr>
      <w:tr w:rsidR="003B3E84" w:rsidRPr="00D64245" w14:paraId="6AF446AE" w14:textId="77777777" w:rsidTr="00A72E5C">
        <w:trPr>
          <w:trHeight w:val="413"/>
        </w:trPr>
        <w:tc>
          <w:tcPr>
            <w:tcW w:w="10790" w:type="dxa"/>
            <w:shd w:val="clear" w:color="auto" w:fill="auto"/>
          </w:tcPr>
          <w:p w14:paraId="50370CD6" w14:textId="3704A367" w:rsidR="003B3E84" w:rsidRDefault="003B3E84" w:rsidP="000F5C94">
            <w:pPr>
              <w:spacing w:before="100" w:beforeAutospacing="1" w:after="100" w:afterAutospacing="1" w:line="276" w:lineRule="auto"/>
              <w:rPr>
                <w:b/>
              </w:rPr>
            </w:pPr>
            <w:r>
              <w:rPr>
                <w:b/>
              </w:rPr>
              <w:t>N</w:t>
            </w:r>
            <w:r w:rsidR="008B6080">
              <w:rPr>
                <w:b/>
              </w:rPr>
              <w:t>eutral</w:t>
            </w:r>
            <w:r>
              <w:rPr>
                <w:b/>
              </w:rPr>
              <w:t xml:space="preserve"> </w:t>
            </w:r>
            <w:r w:rsidR="008B6080">
              <w:rPr>
                <w:b/>
              </w:rPr>
              <w:t xml:space="preserve">Condition </w:t>
            </w:r>
            <w:r w:rsidRPr="003B3E84">
              <w:t xml:space="preserve">– </w:t>
            </w:r>
            <w:r w:rsidR="008B6080">
              <w:t>When atmospheric conditions neither suppress nor encourage a parcel of air’s vertical movement.</w:t>
            </w:r>
          </w:p>
        </w:tc>
      </w:tr>
      <w:tr w:rsidR="008B6080" w:rsidRPr="00D64245" w14:paraId="3F70FB3A" w14:textId="77777777" w:rsidTr="00A72E5C">
        <w:trPr>
          <w:trHeight w:val="413"/>
        </w:trPr>
        <w:tc>
          <w:tcPr>
            <w:tcW w:w="10790" w:type="dxa"/>
            <w:shd w:val="clear" w:color="auto" w:fill="auto"/>
          </w:tcPr>
          <w:p w14:paraId="35920FB2" w14:textId="680BB047" w:rsidR="008B6080" w:rsidRPr="008B6080" w:rsidRDefault="008B6080" w:rsidP="000F5C94">
            <w:pPr>
              <w:spacing w:before="100" w:beforeAutospacing="1" w:after="100" w:afterAutospacing="1" w:line="276" w:lineRule="auto"/>
            </w:pPr>
            <w:r>
              <w:rPr>
                <w:b/>
              </w:rPr>
              <w:t xml:space="preserve">NLCD </w:t>
            </w:r>
            <w:r>
              <w:t>– National Land Cover Dataset</w:t>
            </w:r>
          </w:p>
        </w:tc>
      </w:tr>
      <w:tr w:rsidR="00EC7837" w:rsidRPr="00D64245" w14:paraId="554BA96D" w14:textId="77777777" w:rsidTr="00A72E5C">
        <w:trPr>
          <w:trHeight w:val="413"/>
        </w:trPr>
        <w:tc>
          <w:tcPr>
            <w:tcW w:w="10790" w:type="dxa"/>
            <w:shd w:val="clear" w:color="auto" w:fill="auto"/>
          </w:tcPr>
          <w:p w14:paraId="4DDDE94A" w14:textId="75EECE58" w:rsidR="00EC7837" w:rsidRDefault="00EC7837" w:rsidP="000F5C94">
            <w:pPr>
              <w:spacing w:before="100" w:beforeAutospacing="1" w:after="100" w:afterAutospacing="1" w:line="276" w:lineRule="auto"/>
            </w:pPr>
            <w:r w:rsidRPr="003B3E84">
              <w:rPr>
                <w:b/>
              </w:rPr>
              <w:t>N</w:t>
            </w:r>
            <w:r w:rsidR="008B6080">
              <w:rPr>
                <w:b/>
              </w:rPr>
              <w:t>WS</w:t>
            </w:r>
            <w:r>
              <w:t xml:space="preserve"> – National </w:t>
            </w:r>
            <w:r w:rsidR="008B6080">
              <w:t>Weather Service</w:t>
            </w:r>
          </w:p>
        </w:tc>
      </w:tr>
      <w:tr w:rsidR="002C4177" w:rsidRPr="00D64245" w14:paraId="1B6A3181" w14:textId="77777777" w:rsidTr="00A72E5C">
        <w:trPr>
          <w:trHeight w:val="413"/>
        </w:trPr>
        <w:tc>
          <w:tcPr>
            <w:tcW w:w="10790" w:type="dxa"/>
            <w:shd w:val="clear" w:color="auto" w:fill="auto"/>
          </w:tcPr>
          <w:p w14:paraId="0C0AF51E" w14:textId="75AB7C37" w:rsidR="002C4177" w:rsidRPr="002C4177" w:rsidRDefault="002C4177" w:rsidP="000F5C94">
            <w:pPr>
              <w:spacing w:before="100" w:beforeAutospacing="1" w:after="100" w:afterAutospacing="1" w:line="276" w:lineRule="auto"/>
            </w:pPr>
            <w:r>
              <w:rPr>
                <w:b/>
              </w:rPr>
              <w:t xml:space="preserve">NO </w:t>
            </w:r>
            <w:r>
              <w:t>– Nitrous Oxide</w:t>
            </w:r>
          </w:p>
        </w:tc>
      </w:tr>
      <w:tr w:rsidR="003B3E84" w:rsidRPr="00D64245" w14:paraId="0DAD3BDF" w14:textId="77777777" w:rsidTr="00A72E5C">
        <w:trPr>
          <w:trHeight w:val="413"/>
        </w:trPr>
        <w:tc>
          <w:tcPr>
            <w:tcW w:w="10790" w:type="dxa"/>
            <w:shd w:val="clear" w:color="auto" w:fill="auto"/>
          </w:tcPr>
          <w:p w14:paraId="35A1725D" w14:textId="3B75EBE9" w:rsidR="003B3E84" w:rsidRPr="003B3E84" w:rsidRDefault="003B3E84" w:rsidP="000F5C94">
            <w:pPr>
              <w:spacing w:before="100" w:beforeAutospacing="1" w:after="100" w:afterAutospacing="1" w:line="276" w:lineRule="auto"/>
              <w:rPr>
                <w:b/>
              </w:rPr>
            </w:pPr>
            <w:r>
              <w:rPr>
                <w:b/>
              </w:rPr>
              <w:t>NO</w:t>
            </w:r>
            <w:r w:rsidRPr="002F465D">
              <w:rPr>
                <w:b/>
                <w:vertAlign w:val="subscript"/>
              </w:rPr>
              <w:t>2</w:t>
            </w:r>
            <w:r>
              <w:rPr>
                <w:b/>
              </w:rPr>
              <w:t xml:space="preserve"> </w:t>
            </w:r>
            <w:r w:rsidRPr="003B3E84">
              <w:t>– Nitrogen Dioxide</w:t>
            </w:r>
          </w:p>
        </w:tc>
      </w:tr>
      <w:tr w:rsidR="00D257E1" w:rsidRPr="00D64245" w14:paraId="2259EB44" w14:textId="77777777" w:rsidTr="00A72E5C">
        <w:trPr>
          <w:trHeight w:val="413"/>
        </w:trPr>
        <w:tc>
          <w:tcPr>
            <w:tcW w:w="10790" w:type="dxa"/>
            <w:shd w:val="clear" w:color="auto" w:fill="auto"/>
          </w:tcPr>
          <w:p w14:paraId="6BF7F409" w14:textId="2B8F56E0" w:rsidR="00D257E1" w:rsidRDefault="001E241E" w:rsidP="000F5C94">
            <w:pPr>
              <w:spacing w:before="100" w:beforeAutospacing="1" w:after="100" w:afterAutospacing="1" w:line="276" w:lineRule="auto"/>
            </w:pPr>
            <w:r>
              <w:rPr>
                <w:b/>
              </w:rPr>
              <w:t>NO</w:t>
            </w:r>
            <w:r w:rsidRPr="002F465D">
              <w:rPr>
                <w:b/>
                <w:vertAlign w:val="subscript"/>
              </w:rPr>
              <w:t>x</w:t>
            </w:r>
            <w:r w:rsidRPr="002F465D">
              <w:rPr>
                <w:b/>
              </w:rPr>
              <w:t xml:space="preserve"> </w:t>
            </w:r>
            <w:r w:rsidRPr="002F465D">
              <w:t>– Nitrogen Oxide</w:t>
            </w:r>
            <w:r w:rsidR="002C4177">
              <w:t>s</w:t>
            </w:r>
            <w:r w:rsidRPr="002F465D">
              <w:t xml:space="preserve"> (AKA Oxides of Nitrogen)</w:t>
            </w:r>
          </w:p>
        </w:tc>
      </w:tr>
      <w:tr w:rsidR="00FD64CE" w:rsidRPr="00D64245" w14:paraId="3BA68C76" w14:textId="77777777" w:rsidTr="00A72E5C">
        <w:trPr>
          <w:trHeight w:val="413"/>
        </w:trPr>
        <w:tc>
          <w:tcPr>
            <w:tcW w:w="10790" w:type="dxa"/>
            <w:shd w:val="clear" w:color="auto" w:fill="E2EFD9" w:themeFill="accent6" w:themeFillTint="33"/>
          </w:tcPr>
          <w:p w14:paraId="2954F778" w14:textId="1F17900E" w:rsidR="00FD64CE" w:rsidRDefault="00FD64CE" w:rsidP="000F5C94">
            <w:pPr>
              <w:spacing w:before="100" w:beforeAutospacing="1" w:after="100" w:afterAutospacing="1" w:line="276" w:lineRule="auto"/>
            </w:pPr>
            <w:r>
              <w:rPr>
                <w:rFonts w:ascii="Arial Narrow" w:hAnsi="Arial Narrow"/>
                <w:b/>
                <w:sz w:val="32"/>
                <w:szCs w:val="32"/>
              </w:rPr>
              <w:t>O</w:t>
            </w:r>
          </w:p>
        </w:tc>
      </w:tr>
      <w:tr w:rsidR="002F465D" w:rsidRPr="00D64245" w14:paraId="6046AC59" w14:textId="77777777" w:rsidTr="00A72E5C">
        <w:trPr>
          <w:trHeight w:val="413"/>
        </w:trPr>
        <w:tc>
          <w:tcPr>
            <w:tcW w:w="10790" w:type="dxa"/>
            <w:shd w:val="clear" w:color="auto" w:fill="auto"/>
          </w:tcPr>
          <w:p w14:paraId="7DFFFAD5" w14:textId="4F645EF9" w:rsidR="002F465D" w:rsidRPr="002F465D" w:rsidRDefault="002F465D" w:rsidP="000F5C94">
            <w:pPr>
              <w:spacing w:before="100" w:beforeAutospacing="1" w:after="100" w:afterAutospacing="1" w:line="276" w:lineRule="auto"/>
              <w:rPr>
                <w:b/>
              </w:rPr>
            </w:pPr>
            <w:r>
              <w:rPr>
                <w:b/>
              </w:rPr>
              <w:t>O</w:t>
            </w:r>
            <w:r w:rsidR="002C4177">
              <w:rPr>
                <w:b/>
              </w:rPr>
              <w:t>LM</w:t>
            </w:r>
            <w:r>
              <w:rPr>
                <w:b/>
              </w:rPr>
              <w:t xml:space="preserve"> </w:t>
            </w:r>
            <w:r w:rsidR="00E45C57">
              <w:t>– Ozone</w:t>
            </w:r>
            <w:r w:rsidR="002C4177">
              <w:t xml:space="preserve"> Limiting </w:t>
            </w:r>
            <w:r w:rsidR="001F17B6">
              <w:t>Method</w:t>
            </w:r>
          </w:p>
        </w:tc>
      </w:tr>
      <w:tr w:rsidR="001E241E" w:rsidRPr="00D64245" w14:paraId="110A1D33" w14:textId="77777777" w:rsidTr="00A72E5C">
        <w:trPr>
          <w:trHeight w:val="413"/>
        </w:trPr>
        <w:tc>
          <w:tcPr>
            <w:tcW w:w="10790" w:type="dxa"/>
            <w:shd w:val="clear" w:color="auto" w:fill="auto"/>
          </w:tcPr>
          <w:p w14:paraId="6C5B9904" w14:textId="7AEF3D75" w:rsidR="001E241E" w:rsidRDefault="001E241E" w:rsidP="000F5C94">
            <w:pPr>
              <w:spacing w:before="100" w:beforeAutospacing="1" w:after="100" w:afterAutospacing="1" w:line="276" w:lineRule="auto"/>
              <w:rPr>
                <w:b/>
              </w:rPr>
            </w:pPr>
            <w:r>
              <w:rPr>
                <w:b/>
              </w:rPr>
              <w:t>O</w:t>
            </w:r>
            <w:r w:rsidR="002C4177">
              <w:rPr>
                <w:b/>
              </w:rPr>
              <w:t>U</w:t>
            </w:r>
            <w:r>
              <w:rPr>
                <w:b/>
              </w:rPr>
              <w:t xml:space="preserve"> </w:t>
            </w:r>
            <w:r w:rsidRPr="001E241E">
              <w:t>– O</w:t>
            </w:r>
            <w:r w:rsidR="002C4177">
              <w:t>utput – Options for printing AERMOD output</w:t>
            </w:r>
          </w:p>
        </w:tc>
      </w:tr>
      <w:tr w:rsidR="00FD64CE" w:rsidRPr="00D64245" w14:paraId="06B86DAF" w14:textId="77777777" w:rsidTr="00A72E5C">
        <w:trPr>
          <w:trHeight w:val="413"/>
        </w:trPr>
        <w:tc>
          <w:tcPr>
            <w:tcW w:w="10790" w:type="dxa"/>
            <w:shd w:val="clear" w:color="auto" w:fill="E2EFD9" w:themeFill="accent6" w:themeFillTint="33"/>
          </w:tcPr>
          <w:p w14:paraId="1804AEF3" w14:textId="0022D1D7" w:rsidR="00FD64CE" w:rsidRDefault="00FD64CE" w:rsidP="000F5C94">
            <w:pPr>
              <w:spacing w:before="100" w:beforeAutospacing="1" w:after="100" w:afterAutospacing="1" w:line="276" w:lineRule="auto"/>
            </w:pPr>
            <w:r>
              <w:rPr>
                <w:rFonts w:ascii="Arial Narrow" w:hAnsi="Arial Narrow"/>
                <w:b/>
                <w:sz w:val="32"/>
                <w:szCs w:val="32"/>
              </w:rPr>
              <w:t>P</w:t>
            </w:r>
          </w:p>
        </w:tc>
      </w:tr>
      <w:tr w:rsidR="007B50B7" w:rsidRPr="00D64245" w14:paraId="468388A6" w14:textId="77777777" w:rsidTr="00A72E5C">
        <w:trPr>
          <w:trHeight w:val="413"/>
        </w:trPr>
        <w:tc>
          <w:tcPr>
            <w:tcW w:w="10790" w:type="dxa"/>
            <w:shd w:val="clear" w:color="auto" w:fill="auto"/>
          </w:tcPr>
          <w:p w14:paraId="7F99B361" w14:textId="17887D09" w:rsidR="007B50B7" w:rsidRDefault="002E4072" w:rsidP="000F5C94">
            <w:pPr>
              <w:spacing w:before="100" w:beforeAutospacing="1" w:after="100" w:afterAutospacing="1" w:line="276" w:lineRule="auto"/>
            </w:pPr>
            <w:r>
              <w:rPr>
                <w:b/>
              </w:rPr>
              <w:lastRenderedPageBreak/>
              <w:t>PB</w:t>
            </w:r>
            <w:r w:rsidR="007B50B7" w:rsidRPr="00E45C57">
              <w:rPr>
                <w:b/>
              </w:rPr>
              <w:t>L</w:t>
            </w:r>
            <w:r w:rsidR="007B50B7">
              <w:t xml:space="preserve"> – </w:t>
            </w:r>
            <w:r>
              <w:t xml:space="preserve">Planetary Boundary Layer. </w:t>
            </w:r>
            <w:r w:rsidRPr="00CC724D">
              <w:t>Same as Atmospheric Boundary Layer.</w:t>
            </w:r>
          </w:p>
        </w:tc>
      </w:tr>
      <w:tr w:rsidR="0050292F" w:rsidRPr="00D64245" w14:paraId="3B440A39" w14:textId="77777777" w:rsidTr="00A72E5C">
        <w:trPr>
          <w:trHeight w:val="413"/>
        </w:trPr>
        <w:tc>
          <w:tcPr>
            <w:tcW w:w="10790" w:type="dxa"/>
            <w:shd w:val="clear" w:color="auto" w:fill="auto"/>
          </w:tcPr>
          <w:p w14:paraId="689BC792" w14:textId="4BB1D600" w:rsidR="0050292F" w:rsidRPr="002E4072" w:rsidRDefault="0050292F" w:rsidP="000F5C94">
            <w:pPr>
              <w:spacing w:before="240" w:line="276" w:lineRule="auto"/>
              <w:rPr>
                <w:sz w:val="24"/>
                <w:szCs w:val="24"/>
              </w:rPr>
            </w:pPr>
            <w:r w:rsidRPr="00E45C57">
              <w:rPr>
                <w:b/>
              </w:rPr>
              <w:t>P</w:t>
            </w:r>
            <w:r w:rsidR="002E4072">
              <w:rPr>
                <w:b/>
              </w:rPr>
              <w:t>enetrated Plume</w:t>
            </w:r>
            <w:r w:rsidRPr="00E45C57">
              <w:rPr>
                <w:b/>
              </w:rPr>
              <w:t xml:space="preserve"> </w:t>
            </w:r>
            <w:r>
              <w:t xml:space="preserve">– </w:t>
            </w:r>
            <w:r w:rsidR="002E4072">
              <w:rPr>
                <w:sz w:val="24"/>
                <w:szCs w:val="24"/>
              </w:rPr>
              <w:t>In convective conditions, the part of the plume mass that has sufficient buoyancy to reach the top of the mixed layer and penetrate into the stable layer above where it will disperse initially within the stable layer before potentially mixing back down into the mixed layer.</w:t>
            </w:r>
          </w:p>
        </w:tc>
      </w:tr>
      <w:tr w:rsidR="00C51579" w:rsidRPr="00D64245" w14:paraId="7475263B" w14:textId="77777777" w:rsidTr="00A72E5C">
        <w:trPr>
          <w:trHeight w:val="413"/>
        </w:trPr>
        <w:tc>
          <w:tcPr>
            <w:tcW w:w="10790" w:type="dxa"/>
            <w:shd w:val="clear" w:color="auto" w:fill="auto"/>
          </w:tcPr>
          <w:p w14:paraId="4620D416" w14:textId="2C945778" w:rsidR="00C51579" w:rsidRDefault="0050292F" w:rsidP="000F5C94">
            <w:pPr>
              <w:spacing w:before="100" w:beforeAutospacing="1" w:after="100" w:afterAutospacing="1" w:line="276" w:lineRule="auto"/>
            </w:pPr>
            <w:r w:rsidRPr="00E45C57">
              <w:rPr>
                <w:b/>
              </w:rPr>
              <w:t>PEMS</w:t>
            </w:r>
            <w:r>
              <w:t xml:space="preserve"> – Predictive Emissions Monitoring Systems</w:t>
            </w:r>
          </w:p>
        </w:tc>
      </w:tr>
      <w:tr w:rsidR="002E4072" w:rsidRPr="00D64245" w14:paraId="6F1B3C2B" w14:textId="77777777" w:rsidTr="00A72E5C">
        <w:trPr>
          <w:trHeight w:val="413"/>
        </w:trPr>
        <w:tc>
          <w:tcPr>
            <w:tcW w:w="10790" w:type="dxa"/>
            <w:shd w:val="clear" w:color="auto" w:fill="auto"/>
          </w:tcPr>
          <w:p w14:paraId="29FD2257" w14:textId="56BDE0DC" w:rsidR="002E4072" w:rsidRPr="002E4072" w:rsidRDefault="002E4072" w:rsidP="000F5C94">
            <w:pPr>
              <w:spacing w:before="240" w:line="276" w:lineRule="auto"/>
            </w:pPr>
            <w:r>
              <w:rPr>
                <w:b/>
              </w:rPr>
              <w:t xml:space="preserve">Potential Temperature </w:t>
            </w:r>
            <w:r>
              <w:t xml:space="preserve">– </w:t>
            </w:r>
            <w:r>
              <w:rPr>
                <w:sz w:val="24"/>
                <w:szCs w:val="24"/>
              </w:rPr>
              <w:t>(</w:t>
            </w:r>
            <w:r>
              <w:rPr>
                <w:rFonts w:cstheme="minorHAnsi"/>
                <w:sz w:val="24"/>
                <w:szCs w:val="24"/>
              </w:rPr>
              <w:t>Ɵ</w:t>
            </w:r>
            <w:r>
              <w:rPr>
                <w:sz w:val="24"/>
                <w:szCs w:val="24"/>
              </w:rPr>
              <w:t>) The temperature that a parcel of air would reach upon being brought adiabatically down to the near surface pressure level of 1000 mb.</w:t>
            </w:r>
          </w:p>
        </w:tc>
      </w:tr>
      <w:tr w:rsidR="0066157B" w:rsidRPr="00D64245" w14:paraId="32C38CA2" w14:textId="77777777" w:rsidTr="00A72E5C">
        <w:trPr>
          <w:trHeight w:val="413"/>
        </w:trPr>
        <w:tc>
          <w:tcPr>
            <w:tcW w:w="10790" w:type="dxa"/>
            <w:shd w:val="clear" w:color="auto" w:fill="auto"/>
          </w:tcPr>
          <w:p w14:paraId="2A30F213" w14:textId="74F8C585" w:rsidR="0066157B" w:rsidRDefault="007B50B7" w:rsidP="000F5C94">
            <w:pPr>
              <w:spacing w:before="100" w:beforeAutospacing="1" w:after="100" w:afterAutospacing="1" w:line="276" w:lineRule="auto"/>
            </w:pPr>
            <w:r w:rsidRPr="00E45C57">
              <w:rPr>
                <w:b/>
              </w:rPr>
              <w:t>PM</w:t>
            </w:r>
            <w:r>
              <w:t xml:space="preserve"> – Particulate M</w:t>
            </w:r>
            <w:r w:rsidR="0066157B">
              <w:t>atter</w:t>
            </w:r>
            <w:r w:rsidR="00E45C57">
              <w:t xml:space="preserve"> (Suspended Particulate)</w:t>
            </w:r>
          </w:p>
        </w:tc>
      </w:tr>
      <w:tr w:rsidR="001E241E" w:rsidRPr="00D64245" w14:paraId="4284A681" w14:textId="77777777" w:rsidTr="00A72E5C">
        <w:trPr>
          <w:trHeight w:val="413"/>
        </w:trPr>
        <w:tc>
          <w:tcPr>
            <w:tcW w:w="10790" w:type="dxa"/>
            <w:shd w:val="clear" w:color="auto" w:fill="auto"/>
          </w:tcPr>
          <w:p w14:paraId="3D38AE54" w14:textId="0841BAF5" w:rsidR="001E241E" w:rsidRPr="00E45C57" w:rsidRDefault="001E241E" w:rsidP="000F5C94">
            <w:pPr>
              <w:spacing w:before="100" w:beforeAutospacing="1" w:after="100" w:afterAutospacing="1" w:line="276" w:lineRule="auto"/>
              <w:rPr>
                <w:b/>
              </w:rPr>
            </w:pPr>
            <w:r w:rsidRPr="00E45C57">
              <w:rPr>
                <w:b/>
              </w:rPr>
              <w:t>PM</w:t>
            </w:r>
            <w:r w:rsidRPr="00E45C57">
              <w:rPr>
                <w:b/>
                <w:vertAlign w:val="subscript"/>
              </w:rPr>
              <w:t>2.5</w:t>
            </w:r>
            <w:r>
              <w:t xml:space="preserve"> – Particulate Matter 2.5 Micron in Diameter and smaller</w:t>
            </w:r>
          </w:p>
        </w:tc>
      </w:tr>
      <w:tr w:rsidR="007B50B7" w:rsidRPr="00D64245" w14:paraId="32E36C79" w14:textId="77777777" w:rsidTr="00A72E5C">
        <w:trPr>
          <w:trHeight w:val="413"/>
        </w:trPr>
        <w:tc>
          <w:tcPr>
            <w:tcW w:w="10790" w:type="dxa"/>
            <w:shd w:val="clear" w:color="auto" w:fill="auto"/>
          </w:tcPr>
          <w:p w14:paraId="39A610E8" w14:textId="06BE7662" w:rsidR="007B50B7" w:rsidRDefault="007B50B7" w:rsidP="000F5C94">
            <w:pPr>
              <w:spacing w:before="100" w:beforeAutospacing="1" w:after="100" w:afterAutospacing="1" w:line="276" w:lineRule="auto"/>
            </w:pPr>
            <w:r w:rsidRPr="00E45C57">
              <w:rPr>
                <w:b/>
              </w:rPr>
              <w:t>PM</w:t>
            </w:r>
            <w:r w:rsidR="002A1CB6" w:rsidRPr="00E45C57">
              <w:rPr>
                <w:b/>
                <w:vertAlign w:val="subscript"/>
              </w:rPr>
              <w:t>10</w:t>
            </w:r>
            <w:r w:rsidR="00E45C57">
              <w:t xml:space="preserve"> – Particulate Matter </w:t>
            </w:r>
            <w:r>
              <w:t>10 Micron in Diameter</w:t>
            </w:r>
            <w:r w:rsidR="00E45C57">
              <w:t xml:space="preserve"> and smaller</w:t>
            </w:r>
          </w:p>
        </w:tc>
      </w:tr>
      <w:tr w:rsidR="00D5789C" w:rsidRPr="00D64245" w14:paraId="4C2E8A67" w14:textId="77777777" w:rsidTr="00A72E5C">
        <w:trPr>
          <w:trHeight w:val="413"/>
        </w:trPr>
        <w:tc>
          <w:tcPr>
            <w:tcW w:w="10790" w:type="dxa"/>
            <w:shd w:val="clear" w:color="auto" w:fill="auto"/>
          </w:tcPr>
          <w:p w14:paraId="6145C1F4" w14:textId="21F62895" w:rsidR="00D5789C" w:rsidRDefault="00D5789C" w:rsidP="000F5C94">
            <w:pPr>
              <w:spacing w:before="100" w:beforeAutospacing="1" w:after="100" w:afterAutospacing="1" w:line="276" w:lineRule="auto"/>
            </w:pPr>
            <w:r w:rsidRPr="0016286A">
              <w:rPr>
                <w:b/>
              </w:rPr>
              <w:t>ppb</w:t>
            </w:r>
            <w:r>
              <w:t xml:space="preserve"> – Parts Per Billion</w:t>
            </w:r>
          </w:p>
        </w:tc>
      </w:tr>
      <w:tr w:rsidR="00D5789C" w:rsidRPr="00D64245" w14:paraId="3F799DA3" w14:textId="77777777" w:rsidTr="00A72E5C">
        <w:trPr>
          <w:trHeight w:val="413"/>
        </w:trPr>
        <w:tc>
          <w:tcPr>
            <w:tcW w:w="10790" w:type="dxa"/>
            <w:shd w:val="clear" w:color="auto" w:fill="auto"/>
          </w:tcPr>
          <w:p w14:paraId="5F1EE665" w14:textId="7B7FA09C" w:rsidR="00D5789C" w:rsidRDefault="00D5789C" w:rsidP="000F5C94">
            <w:pPr>
              <w:spacing w:before="100" w:beforeAutospacing="1" w:after="100" w:afterAutospacing="1" w:line="276" w:lineRule="auto"/>
            </w:pPr>
            <w:r w:rsidRPr="0016286A">
              <w:rPr>
                <w:b/>
              </w:rPr>
              <w:t>ppm</w:t>
            </w:r>
            <w:r>
              <w:t xml:space="preserve"> – Parts Per Million</w:t>
            </w:r>
          </w:p>
        </w:tc>
      </w:tr>
      <w:tr w:rsidR="0066157B" w:rsidRPr="00D64245" w14:paraId="79F65FB7" w14:textId="77777777" w:rsidTr="00A72E5C">
        <w:trPr>
          <w:trHeight w:val="413"/>
        </w:trPr>
        <w:tc>
          <w:tcPr>
            <w:tcW w:w="10790" w:type="dxa"/>
            <w:shd w:val="clear" w:color="auto" w:fill="auto"/>
          </w:tcPr>
          <w:p w14:paraId="26C1F590" w14:textId="59F765E3" w:rsidR="006F4A4C" w:rsidRPr="00EE1DE0" w:rsidRDefault="0066157B" w:rsidP="000F5C94">
            <w:pPr>
              <w:spacing w:before="240" w:line="276" w:lineRule="auto"/>
              <w:rPr>
                <w:sz w:val="24"/>
                <w:szCs w:val="24"/>
              </w:rPr>
            </w:pPr>
            <w:r w:rsidRPr="0016286A">
              <w:rPr>
                <w:b/>
              </w:rPr>
              <w:t>P</w:t>
            </w:r>
            <w:r w:rsidR="002E4072">
              <w:rPr>
                <w:b/>
              </w:rPr>
              <w:t>RIME</w:t>
            </w:r>
            <w:r w:rsidR="00D5789C">
              <w:t xml:space="preserve"> </w:t>
            </w:r>
            <w:r>
              <w:t xml:space="preserve">– </w:t>
            </w:r>
            <w:r w:rsidR="00D5789C">
              <w:t>P</w:t>
            </w:r>
            <w:r w:rsidR="00EE1DE0">
              <w:t xml:space="preserve">lume Rise Model Enhancements. </w:t>
            </w:r>
            <w:r w:rsidR="00EE1DE0">
              <w:rPr>
                <w:sz w:val="24"/>
                <w:szCs w:val="24"/>
              </w:rPr>
              <w:t>The algorithm within AERMOD that computes the concentrations for receptors and sources within the disturbed flow around and downwind of a building or structure.</w:t>
            </w:r>
          </w:p>
        </w:tc>
      </w:tr>
      <w:tr w:rsidR="00735457" w:rsidRPr="00D64245" w14:paraId="3752F5ED" w14:textId="77777777" w:rsidTr="00A72E5C">
        <w:trPr>
          <w:trHeight w:val="413"/>
        </w:trPr>
        <w:tc>
          <w:tcPr>
            <w:tcW w:w="10790" w:type="dxa"/>
            <w:shd w:val="clear" w:color="auto" w:fill="auto"/>
          </w:tcPr>
          <w:p w14:paraId="683794C3" w14:textId="65F9BB10" w:rsidR="00735457" w:rsidRDefault="00735457" w:rsidP="000F5C94">
            <w:pPr>
              <w:spacing w:before="100" w:beforeAutospacing="1" w:after="100" w:afterAutospacing="1" w:line="276" w:lineRule="auto"/>
            </w:pPr>
            <w:r w:rsidRPr="0016286A">
              <w:rPr>
                <w:b/>
              </w:rPr>
              <w:t>P</w:t>
            </w:r>
            <w:r w:rsidR="00EE1DE0">
              <w:rPr>
                <w:b/>
              </w:rPr>
              <w:t>VMRM</w:t>
            </w:r>
            <w:r>
              <w:t xml:space="preserve"> – P</w:t>
            </w:r>
            <w:r w:rsidR="00EE1DE0">
              <w:t xml:space="preserve">lume Volume </w:t>
            </w:r>
            <w:r w:rsidR="00847689">
              <w:t xml:space="preserve">Molar </w:t>
            </w:r>
            <w:r w:rsidR="00EE1DE0">
              <w:t>Ratio Method</w:t>
            </w:r>
            <w:r w:rsidR="00542A03">
              <w:t xml:space="preserve"> for computing ozone.</w:t>
            </w:r>
          </w:p>
        </w:tc>
      </w:tr>
      <w:tr w:rsidR="006F4A4C" w:rsidRPr="00D64245" w14:paraId="4BDB29E6" w14:textId="77777777" w:rsidTr="00A72E5C">
        <w:trPr>
          <w:trHeight w:val="413"/>
        </w:trPr>
        <w:tc>
          <w:tcPr>
            <w:tcW w:w="10790" w:type="dxa"/>
            <w:shd w:val="clear" w:color="auto" w:fill="auto"/>
          </w:tcPr>
          <w:p w14:paraId="136CB151" w14:textId="3A459F91" w:rsidR="006F4A4C" w:rsidRPr="00305C56" w:rsidRDefault="006F4A4C" w:rsidP="000F5C94">
            <w:pPr>
              <w:spacing w:before="100" w:beforeAutospacing="1" w:after="100" w:afterAutospacing="1" w:line="276" w:lineRule="auto"/>
              <w:rPr>
                <w:bCs/>
              </w:rPr>
            </w:pPr>
            <w:r>
              <w:rPr>
                <w:b/>
              </w:rPr>
              <w:t xml:space="preserve">Probabilistic Standard </w:t>
            </w:r>
            <w:r w:rsidR="00305C56">
              <w:rPr>
                <w:bCs/>
              </w:rPr>
              <w:t xml:space="preserve">– </w:t>
            </w:r>
            <w:r w:rsidR="0014786F">
              <w:rPr>
                <w:bCs/>
              </w:rPr>
              <w:t xml:space="preserve">ambient standard based on the distribution of concentrations </w:t>
            </w:r>
            <w:r w:rsidR="00A054C8">
              <w:rPr>
                <w:bCs/>
              </w:rPr>
              <w:t>over</w:t>
            </w:r>
            <w:r w:rsidR="0014786F">
              <w:rPr>
                <w:bCs/>
              </w:rPr>
              <w:t xml:space="preserve"> a</w:t>
            </w:r>
            <w:r w:rsidR="00A054C8">
              <w:rPr>
                <w:bCs/>
              </w:rPr>
              <w:t xml:space="preserve"> specified</w:t>
            </w:r>
            <w:r w:rsidR="0014786F">
              <w:rPr>
                <w:bCs/>
              </w:rPr>
              <w:t xml:space="preserve"> number of years.  For example,</w:t>
            </w:r>
            <w:r w:rsidR="00A054C8">
              <w:rPr>
                <w:bCs/>
              </w:rPr>
              <w:t xml:space="preserve"> the 24-hr standard for PM2.5 is 35 </w:t>
            </w:r>
            <w:r w:rsidR="00A054C8">
              <w:rPr>
                <w:rFonts w:cstheme="minorHAnsi"/>
                <w:bCs/>
              </w:rPr>
              <w:t>μ</w:t>
            </w:r>
            <w:r w:rsidR="00A054C8">
              <w:rPr>
                <w:bCs/>
              </w:rPr>
              <w:t>g/m3</w:t>
            </w:r>
            <w:r w:rsidR="007F5DAE">
              <w:rPr>
                <w:bCs/>
              </w:rPr>
              <w:t xml:space="preserve">. </w:t>
            </w:r>
            <w:r w:rsidR="00A054C8">
              <w:rPr>
                <w:bCs/>
              </w:rPr>
              <w:t xml:space="preserve"> </w:t>
            </w:r>
            <w:r w:rsidR="007F5DAE" w:rsidRPr="007F5DAE">
              <w:rPr>
                <w:bCs/>
              </w:rPr>
              <w:t>An area meets the 24-hour standard if the 98th percentile of 24-hour PM2.5 concentrations in one year, averaged over three years, is less than or equal to 35 μg/m3.</w:t>
            </w:r>
            <w:r w:rsidR="00A054C8">
              <w:rPr>
                <w:bCs/>
              </w:rPr>
              <w:t xml:space="preserve"> </w:t>
            </w:r>
            <w:r w:rsidR="007F5DAE">
              <w:rPr>
                <w:bCs/>
              </w:rPr>
              <w:t>T</w:t>
            </w:r>
            <w:r w:rsidR="00A054C8">
              <w:rPr>
                <w:bCs/>
              </w:rPr>
              <w:t>his is estimated as the 8</w:t>
            </w:r>
            <w:r w:rsidR="00A054C8" w:rsidRPr="00A054C8">
              <w:rPr>
                <w:bCs/>
                <w:vertAlign w:val="superscript"/>
              </w:rPr>
              <w:t>th</w:t>
            </w:r>
            <w:r w:rsidR="00A054C8">
              <w:rPr>
                <w:bCs/>
              </w:rPr>
              <w:t xml:space="preserve"> highest value in those 3 years.</w:t>
            </w:r>
          </w:p>
        </w:tc>
      </w:tr>
      <w:tr w:rsidR="007D4E94" w:rsidRPr="00D64245" w14:paraId="4B5ED0FC" w14:textId="77777777" w:rsidTr="00A72E5C">
        <w:trPr>
          <w:trHeight w:val="413"/>
        </w:trPr>
        <w:tc>
          <w:tcPr>
            <w:tcW w:w="10790" w:type="dxa"/>
            <w:shd w:val="clear" w:color="auto" w:fill="auto"/>
          </w:tcPr>
          <w:p w14:paraId="44109632" w14:textId="73F45B19" w:rsidR="007D4E94" w:rsidRPr="007D4E94" w:rsidRDefault="007D4E94" w:rsidP="000F5C94">
            <w:pPr>
              <w:spacing w:before="100" w:beforeAutospacing="1" w:after="100" w:afterAutospacing="1" w:line="276" w:lineRule="auto"/>
              <w:rPr>
                <w:bCs/>
              </w:rPr>
            </w:pPr>
            <w:r>
              <w:rPr>
                <w:b/>
              </w:rPr>
              <w:t>Prognostic</w:t>
            </w:r>
            <w:r>
              <w:rPr>
                <w:bCs/>
              </w:rPr>
              <w:t xml:space="preserve"> </w:t>
            </w:r>
            <w:r w:rsidRPr="007D4E94">
              <w:rPr>
                <w:b/>
              </w:rPr>
              <w:t xml:space="preserve">model </w:t>
            </w:r>
            <w:r>
              <w:rPr>
                <w:bCs/>
              </w:rPr>
              <w:t xml:space="preserve">- </w:t>
            </w:r>
            <w:r w:rsidRPr="007D4E94">
              <w:rPr>
                <w:bCs/>
              </w:rPr>
              <w:t xml:space="preserve">Prognostic </w:t>
            </w:r>
            <w:r>
              <w:rPr>
                <w:bCs/>
              </w:rPr>
              <w:t xml:space="preserve">meteorological </w:t>
            </w:r>
            <w:r w:rsidRPr="007D4E94">
              <w:rPr>
                <w:bCs/>
              </w:rPr>
              <w:t xml:space="preserve">models predict values for meteorological variables by solving the atmospheric </w:t>
            </w:r>
            <w:r>
              <w:rPr>
                <w:bCs/>
              </w:rPr>
              <w:t>equations of motion</w:t>
            </w:r>
            <w:r w:rsidRPr="007D4E94">
              <w:rPr>
                <w:bCs/>
              </w:rPr>
              <w:t>.</w:t>
            </w:r>
          </w:p>
        </w:tc>
      </w:tr>
      <w:tr w:rsidR="0066157B" w:rsidRPr="00D64245" w14:paraId="089055AC" w14:textId="77777777" w:rsidTr="00A72E5C">
        <w:trPr>
          <w:trHeight w:val="413"/>
        </w:trPr>
        <w:tc>
          <w:tcPr>
            <w:tcW w:w="10790" w:type="dxa"/>
            <w:shd w:val="clear" w:color="auto" w:fill="E2EFD9" w:themeFill="accent6" w:themeFillTint="33"/>
          </w:tcPr>
          <w:p w14:paraId="7CD16804" w14:textId="42ADE810" w:rsidR="0066157B" w:rsidRDefault="0066157B" w:rsidP="000F5C94">
            <w:pPr>
              <w:spacing w:before="100" w:beforeAutospacing="1" w:after="100" w:afterAutospacing="1" w:line="276" w:lineRule="auto"/>
            </w:pPr>
            <w:r>
              <w:rPr>
                <w:rFonts w:ascii="Arial Narrow" w:hAnsi="Arial Narrow"/>
                <w:b/>
                <w:sz w:val="32"/>
                <w:szCs w:val="32"/>
              </w:rPr>
              <w:t>Q</w:t>
            </w:r>
          </w:p>
        </w:tc>
      </w:tr>
      <w:tr w:rsidR="0066157B" w:rsidRPr="00D64245" w14:paraId="1DCEDD71" w14:textId="77777777" w:rsidTr="00A72E5C">
        <w:trPr>
          <w:trHeight w:val="413"/>
        </w:trPr>
        <w:tc>
          <w:tcPr>
            <w:tcW w:w="10790" w:type="dxa"/>
            <w:shd w:val="clear" w:color="auto" w:fill="auto"/>
          </w:tcPr>
          <w:p w14:paraId="7FA5FC59" w14:textId="40BD7382" w:rsidR="0066157B" w:rsidRDefault="0066157B" w:rsidP="000F5C94">
            <w:pPr>
              <w:spacing w:before="100" w:beforeAutospacing="1" w:after="100" w:afterAutospacing="1" w:line="276" w:lineRule="auto"/>
            </w:pPr>
            <w:r w:rsidRPr="0016286A">
              <w:rPr>
                <w:b/>
              </w:rPr>
              <w:t>Q</w:t>
            </w:r>
            <w:r w:rsidR="00EE1DE0">
              <w:rPr>
                <w:b/>
              </w:rPr>
              <w:t>A</w:t>
            </w:r>
            <w:r w:rsidRPr="00F26B7B">
              <w:t xml:space="preserve"> – </w:t>
            </w:r>
            <w:r w:rsidR="0016286A">
              <w:t xml:space="preserve">Quality </w:t>
            </w:r>
            <w:r w:rsidR="00EE1DE0">
              <w:t>Assurance</w:t>
            </w:r>
          </w:p>
        </w:tc>
      </w:tr>
      <w:tr w:rsidR="0066157B" w:rsidRPr="00D64245" w14:paraId="3D1ECC61" w14:textId="77777777" w:rsidTr="00A72E5C">
        <w:trPr>
          <w:trHeight w:val="413"/>
        </w:trPr>
        <w:tc>
          <w:tcPr>
            <w:tcW w:w="10790" w:type="dxa"/>
            <w:shd w:val="clear" w:color="auto" w:fill="E2EFD9" w:themeFill="accent6" w:themeFillTint="33"/>
          </w:tcPr>
          <w:p w14:paraId="61094EBE" w14:textId="3EE575AC" w:rsidR="0066157B" w:rsidRDefault="0066157B" w:rsidP="000F5C94">
            <w:pPr>
              <w:spacing w:before="100" w:beforeAutospacing="1" w:after="100" w:afterAutospacing="1" w:line="276" w:lineRule="auto"/>
            </w:pPr>
            <w:r>
              <w:rPr>
                <w:rFonts w:ascii="Arial Narrow" w:hAnsi="Arial Narrow"/>
                <w:b/>
                <w:sz w:val="32"/>
                <w:szCs w:val="32"/>
              </w:rPr>
              <w:t>R</w:t>
            </w:r>
          </w:p>
        </w:tc>
      </w:tr>
      <w:tr w:rsidR="008976AC" w:rsidRPr="00D64245" w14:paraId="79BFC500" w14:textId="77777777" w:rsidTr="00A72E5C">
        <w:trPr>
          <w:trHeight w:val="413"/>
        </w:trPr>
        <w:tc>
          <w:tcPr>
            <w:tcW w:w="10790" w:type="dxa"/>
            <w:shd w:val="clear" w:color="auto" w:fill="auto"/>
          </w:tcPr>
          <w:p w14:paraId="7920C8AE" w14:textId="2E04DA3F" w:rsidR="008976AC" w:rsidRPr="008976AC" w:rsidRDefault="008976AC" w:rsidP="000F5C94">
            <w:pPr>
              <w:spacing w:before="100" w:beforeAutospacing="1" w:after="100" w:afterAutospacing="1" w:line="276" w:lineRule="auto"/>
            </w:pPr>
            <w:r>
              <w:rPr>
                <w:b/>
              </w:rPr>
              <w:t xml:space="preserve">r </w:t>
            </w:r>
            <w:r>
              <w:t>– Water Vapor Mixing Ratio</w:t>
            </w:r>
          </w:p>
        </w:tc>
      </w:tr>
      <w:tr w:rsidR="0066157B" w:rsidRPr="00D64245" w14:paraId="2126B008" w14:textId="77777777" w:rsidTr="00A72E5C">
        <w:trPr>
          <w:trHeight w:val="413"/>
        </w:trPr>
        <w:tc>
          <w:tcPr>
            <w:tcW w:w="10790" w:type="dxa"/>
            <w:shd w:val="clear" w:color="auto" w:fill="auto"/>
          </w:tcPr>
          <w:p w14:paraId="71D55B91" w14:textId="683E7A8B" w:rsidR="0066157B" w:rsidRDefault="0066157B" w:rsidP="000F5C94">
            <w:pPr>
              <w:spacing w:before="100" w:beforeAutospacing="1" w:after="100" w:afterAutospacing="1" w:line="276" w:lineRule="auto"/>
            </w:pPr>
            <w:r w:rsidRPr="0016286A">
              <w:rPr>
                <w:b/>
              </w:rPr>
              <w:t>R</w:t>
            </w:r>
            <w:r w:rsidR="008976AC">
              <w:rPr>
                <w:b/>
              </w:rPr>
              <w:t>E</w:t>
            </w:r>
            <w:r>
              <w:t xml:space="preserve">– </w:t>
            </w:r>
            <w:r w:rsidR="0016286A">
              <w:t>R</w:t>
            </w:r>
            <w:r w:rsidR="008976AC">
              <w:t>eceptors – Discrete and gridded receptor locations and elevations.</w:t>
            </w:r>
          </w:p>
        </w:tc>
      </w:tr>
      <w:tr w:rsidR="002B2F85" w:rsidRPr="00D64245" w14:paraId="3C80E02D" w14:textId="77777777" w:rsidTr="00A72E5C">
        <w:trPr>
          <w:trHeight w:val="413"/>
        </w:trPr>
        <w:tc>
          <w:tcPr>
            <w:tcW w:w="10790" w:type="dxa"/>
            <w:shd w:val="clear" w:color="auto" w:fill="auto"/>
          </w:tcPr>
          <w:p w14:paraId="5D7A6BA7" w14:textId="3B4DCB5A" w:rsidR="002B2F85" w:rsidRPr="002B2F85" w:rsidRDefault="002B2F85" w:rsidP="000F5C94">
            <w:pPr>
              <w:spacing w:before="100" w:beforeAutospacing="1" w:after="100" w:afterAutospacing="1" w:line="276" w:lineRule="auto"/>
              <w:rPr>
                <w:bCs/>
              </w:rPr>
            </w:pPr>
            <w:r>
              <w:rPr>
                <w:b/>
              </w:rPr>
              <w:t xml:space="preserve">Receptors </w:t>
            </w:r>
            <w:r>
              <w:rPr>
                <w:bCs/>
              </w:rPr>
              <w:t>– Locations (x, y, z) where model user wishes to estimate the concentrations.</w:t>
            </w:r>
          </w:p>
        </w:tc>
      </w:tr>
      <w:tr w:rsidR="00B00092" w:rsidRPr="00D64245" w14:paraId="34B4E7D2" w14:textId="77777777" w:rsidTr="00A72E5C">
        <w:trPr>
          <w:trHeight w:val="413"/>
        </w:trPr>
        <w:tc>
          <w:tcPr>
            <w:tcW w:w="10790" w:type="dxa"/>
            <w:shd w:val="clear" w:color="auto" w:fill="auto"/>
          </w:tcPr>
          <w:p w14:paraId="617A87B4" w14:textId="2FCF6E51" w:rsidR="00B00092" w:rsidRPr="00B00092" w:rsidRDefault="00B00092" w:rsidP="00B00092">
            <w:pPr>
              <w:spacing w:before="100" w:beforeAutospacing="1" w:after="100" w:afterAutospacing="1" w:line="276" w:lineRule="auto"/>
            </w:pPr>
            <w:r>
              <w:rPr>
                <w:b/>
              </w:rPr>
              <w:t xml:space="preserve">RLINE (or R-LINE) </w:t>
            </w:r>
            <w:r>
              <w:t xml:space="preserve">– </w:t>
            </w:r>
            <w:r>
              <w:rPr>
                <w:rStyle w:val="im"/>
              </w:rPr>
              <w:t>Research LINE is a Line Source dispersion model for Near-Surface Releases.  R-LINE is a research grade dispersion model that is currently under development by US EP Office of Research and Development (ORD) for assessing and addressing emissions from roadways.</w:t>
            </w:r>
          </w:p>
        </w:tc>
      </w:tr>
      <w:tr w:rsidR="00DA4890" w:rsidRPr="00D64245" w14:paraId="360C135A" w14:textId="77777777" w:rsidTr="00A72E5C">
        <w:trPr>
          <w:trHeight w:val="413"/>
        </w:trPr>
        <w:tc>
          <w:tcPr>
            <w:tcW w:w="10790" w:type="dxa"/>
            <w:shd w:val="clear" w:color="auto" w:fill="auto"/>
          </w:tcPr>
          <w:p w14:paraId="314EC5EE" w14:textId="017BF15F" w:rsidR="00DA4890" w:rsidRPr="00542A03" w:rsidRDefault="00542A03" w:rsidP="000F5C94">
            <w:pPr>
              <w:spacing w:before="100" w:beforeAutospacing="1" w:after="100" w:afterAutospacing="1" w:line="276" w:lineRule="auto"/>
            </w:pPr>
            <w:r>
              <w:rPr>
                <w:b/>
              </w:rPr>
              <w:t>R</w:t>
            </w:r>
            <w:r>
              <w:rPr>
                <w:b/>
                <w:vertAlign w:val="subscript"/>
              </w:rPr>
              <w:t>N</w:t>
            </w:r>
            <w:r>
              <w:rPr>
                <w:b/>
              </w:rPr>
              <w:t xml:space="preserve"> </w:t>
            </w:r>
            <w:r w:rsidRPr="00542A03">
              <w:rPr>
                <w:bCs/>
              </w:rPr>
              <w:t>– Net radiation</w:t>
            </w:r>
            <w:r>
              <w:rPr>
                <w:bCs/>
              </w:rPr>
              <w:t xml:space="preserve"> at the surface</w:t>
            </w:r>
          </w:p>
        </w:tc>
      </w:tr>
      <w:tr w:rsidR="0066157B" w:rsidRPr="00D64245" w14:paraId="0353CD5E" w14:textId="77777777" w:rsidTr="00A72E5C">
        <w:trPr>
          <w:trHeight w:val="413"/>
        </w:trPr>
        <w:tc>
          <w:tcPr>
            <w:tcW w:w="10790" w:type="dxa"/>
            <w:shd w:val="clear" w:color="auto" w:fill="E2EFD9" w:themeFill="accent6" w:themeFillTint="33"/>
          </w:tcPr>
          <w:p w14:paraId="6C0E8010" w14:textId="5749B1C0" w:rsidR="0066157B" w:rsidRDefault="0066157B" w:rsidP="000F5C94">
            <w:pPr>
              <w:spacing w:before="100" w:beforeAutospacing="1" w:after="100" w:afterAutospacing="1" w:line="276" w:lineRule="auto"/>
            </w:pPr>
            <w:r>
              <w:rPr>
                <w:rFonts w:ascii="Arial Narrow" w:hAnsi="Arial Narrow"/>
                <w:b/>
                <w:sz w:val="32"/>
                <w:szCs w:val="32"/>
              </w:rPr>
              <w:t>S</w:t>
            </w:r>
          </w:p>
        </w:tc>
      </w:tr>
      <w:tr w:rsidR="008976AC" w:rsidRPr="00D64245" w14:paraId="0D9B8F9A" w14:textId="77777777" w:rsidTr="00A72E5C">
        <w:trPr>
          <w:trHeight w:val="413"/>
        </w:trPr>
        <w:tc>
          <w:tcPr>
            <w:tcW w:w="10790" w:type="dxa"/>
            <w:shd w:val="clear" w:color="auto" w:fill="auto"/>
          </w:tcPr>
          <w:p w14:paraId="2D576A73" w14:textId="22656ECB" w:rsidR="008976AC" w:rsidRPr="008976AC" w:rsidRDefault="008976AC" w:rsidP="000F5C94">
            <w:pPr>
              <w:spacing w:before="100" w:beforeAutospacing="1" w:after="100" w:afterAutospacing="1" w:line="276" w:lineRule="auto"/>
            </w:pPr>
            <w:r>
              <w:rPr>
                <w:b/>
              </w:rPr>
              <w:t xml:space="preserve">SBL </w:t>
            </w:r>
            <w:r>
              <w:t>– Stable Boundary Layer</w:t>
            </w:r>
          </w:p>
        </w:tc>
      </w:tr>
      <w:tr w:rsidR="0066157B" w:rsidRPr="00D64245" w14:paraId="31A17FE2" w14:textId="77777777" w:rsidTr="00A72E5C">
        <w:trPr>
          <w:trHeight w:val="413"/>
        </w:trPr>
        <w:tc>
          <w:tcPr>
            <w:tcW w:w="10790" w:type="dxa"/>
            <w:shd w:val="clear" w:color="auto" w:fill="auto"/>
          </w:tcPr>
          <w:p w14:paraId="29F185A9" w14:textId="26A291B9" w:rsidR="0066157B" w:rsidRDefault="001E241E" w:rsidP="000F5C94">
            <w:pPr>
              <w:spacing w:before="100" w:beforeAutospacing="1" w:after="100" w:afterAutospacing="1" w:line="276" w:lineRule="auto"/>
              <w:rPr>
                <w:rFonts w:ascii="Arial Narrow" w:hAnsi="Arial Narrow"/>
                <w:b/>
                <w:sz w:val="32"/>
                <w:szCs w:val="32"/>
              </w:rPr>
            </w:pPr>
            <w:r>
              <w:rPr>
                <w:b/>
              </w:rPr>
              <w:t>S</w:t>
            </w:r>
            <w:r w:rsidR="008976AC">
              <w:rPr>
                <w:b/>
              </w:rPr>
              <w:t>DTS</w:t>
            </w:r>
            <w:r>
              <w:rPr>
                <w:b/>
              </w:rPr>
              <w:t xml:space="preserve"> </w:t>
            </w:r>
            <w:r w:rsidRPr="00555224">
              <w:t>– S</w:t>
            </w:r>
            <w:r w:rsidR="008976AC">
              <w:t>patial Data Transfer Standard</w:t>
            </w:r>
          </w:p>
        </w:tc>
      </w:tr>
      <w:tr w:rsidR="00A53B6C" w:rsidRPr="00D64245" w14:paraId="332D39AF" w14:textId="77777777" w:rsidTr="00A72E5C">
        <w:trPr>
          <w:trHeight w:val="413"/>
        </w:trPr>
        <w:tc>
          <w:tcPr>
            <w:tcW w:w="10790" w:type="dxa"/>
            <w:shd w:val="clear" w:color="auto" w:fill="auto"/>
          </w:tcPr>
          <w:p w14:paraId="369CA9DC" w14:textId="5F178F0A" w:rsidR="00A53B6C" w:rsidRPr="00A53B6C" w:rsidRDefault="00A53B6C" w:rsidP="000F5C94">
            <w:pPr>
              <w:spacing w:before="100" w:beforeAutospacing="1" w:after="100" w:afterAutospacing="1" w:line="276" w:lineRule="auto"/>
            </w:pPr>
            <w:r>
              <w:rPr>
                <w:b/>
              </w:rPr>
              <w:lastRenderedPageBreak/>
              <w:t xml:space="preserve">Sensible Heat Flux </w:t>
            </w:r>
            <w:r>
              <w:t>– (H) The conductive heat flux from the Earth’s surface to the atmosphere.</w:t>
            </w:r>
          </w:p>
        </w:tc>
      </w:tr>
      <w:tr w:rsidR="00A53B6C" w:rsidRPr="00D64245" w14:paraId="49022863" w14:textId="77777777" w:rsidTr="00A72E5C">
        <w:trPr>
          <w:trHeight w:val="413"/>
        </w:trPr>
        <w:tc>
          <w:tcPr>
            <w:tcW w:w="10790" w:type="dxa"/>
            <w:shd w:val="clear" w:color="auto" w:fill="auto"/>
          </w:tcPr>
          <w:p w14:paraId="6E583550" w14:textId="6CF04041" w:rsidR="00A53B6C" w:rsidRPr="00A53B6C" w:rsidRDefault="00A53B6C" w:rsidP="000F5C94">
            <w:pPr>
              <w:spacing w:before="240" w:line="276" w:lineRule="auto"/>
              <w:rPr>
                <w:sz w:val="24"/>
                <w:szCs w:val="24"/>
              </w:rPr>
            </w:pPr>
            <w:r>
              <w:rPr>
                <w:b/>
              </w:rPr>
              <w:t xml:space="preserve">Similarity Theory </w:t>
            </w:r>
            <w:r>
              <w:t xml:space="preserve">– Empirical </w:t>
            </w:r>
            <w:r w:rsidRPr="00FA2B86">
              <w:rPr>
                <w:sz w:val="24"/>
                <w:szCs w:val="24"/>
              </w:rPr>
              <w:t xml:space="preserve">method </w:t>
            </w:r>
            <w:r>
              <w:rPr>
                <w:sz w:val="24"/>
                <w:szCs w:val="24"/>
              </w:rPr>
              <w:t>defining</w:t>
            </w:r>
            <w:r w:rsidRPr="00FA2B86">
              <w:rPr>
                <w:sz w:val="24"/>
                <w:szCs w:val="24"/>
              </w:rPr>
              <w:t xml:space="preserve"> universal relationships between non-dimensionalized</w:t>
            </w:r>
            <w:r w:rsidR="00542A03">
              <w:rPr>
                <w:sz w:val="24"/>
                <w:szCs w:val="24"/>
              </w:rPr>
              <w:t xml:space="preserve"> variables in the atmosphere.</w:t>
            </w:r>
          </w:p>
        </w:tc>
      </w:tr>
      <w:tr w:rsidR="001E241E" w:rsidRPr="00D64245" w14:paraId="333C5B8E" w14:textId="77777777" w:rsidTr="00A72E5C">
        <w:trPr>
          <w:trHeight w:val="413"/>
        </w:trPr>
        <w:tc>
          <w:tcPr>
            <w:tcW w:w="10790" w:type="dxa"/>
            <w:shd w:val="clear" w:color="auto" w:fill="auto"/>
          </w:tcPr>
          <w:p w14:paraId="00BB79CD" w14:textId="5B9181EC" w:rsidR="001E241E" w:rsidRPr="00555224" w:rsidRDefault="001E241E" w:rsidP="000F5C94">
            <w:pPr>
              <w:spacing w:before="100" w:beforeAutospacing="1" w:after="100" w:afterAutospacing="1" w:line="276" w:lineRule="auto"/>
              <w:rPr>
                <w:b/>
              </w:rPr>
            </w:pPr>
            <w:r w:rsidRPr="00555224">
              <w:rPr>
                <w:b/>
              </w:rPr>
              <w:t>S</w:t>
            </w:r>
            <w:r w:rsidR="008976AC">
              <w:rPr>
                <w:b/>
              </w:rPr>
              <w:t>IP</w:t>
            </w:r>
            <w:r>
              <w:t xml:space="preserve"> </w:t>
            </w:r>
            <w:r w:rsidRPr="00F26B7B">
              <w:t xml:space="preserve">– </w:t>
            </w:r>
            <w:r w:rsidR="008976AC" w:rsidRPr="00555224">
              <w:t>State Implementation Plan</w:t>
            </w:r>
            <w:r w:rsidR="008976AC">
              <w:t xml:space="preserve"> </w:t>
            </w:r>
          </w:p>
        </w:tc>
      </w:tr>
      <w:tr w:rsidR="001E241E" w:rsidRPr="00D64245" w14:paraId="3534DC8D" w14:textId="77777777" w:rsidTr="00A72E5C">
        <w:trPr>
          <w:trHeight w:val="413"/>
        </w:trPr>
        <w:tc>
          <w:tcPr>
            <w:tcW w:w="10790" w:type="dxa"/>
            <w:shd w:val="clear" w:color="auto" w:fill="auto"/>
          </w:tcPr>
          <w:p w14:paraId="07ADE4F2" w14:textId="34B5FBE2" w:rsidR="001E241E" w:rsidRPr="00555224" w:rsidRDefault="001E241E" w:rsidP="000F5C94">
            <w:pPr>
              <w:spacing w:before="100" w:beforeAutospacing="1" w:after="100" w:afterAutospacing="1" w:line="276" w:lineRule="auto"/>
              <w:rPr>
                <w:b/>
              </w:rPr>
            </w:pPr>
            <w:r>
              <w:rPr>
                <w:b/>
              </w:rPr>
              <w:t>S</w:t>
            </w:r>
            <w:r w:rsidR="008976AC">
              <w:rPr>
                <w:b/>
              </w:rPr>
              <w:t>IZ</w:t>
            </w:r>
            <w:r>
              <w:rPr>
                <w:b/>
              </w:rPr>
              <w:t xml:space="preserve"> </w:t>
            </w:r>
            <w:r w:rsidRPr="001E241E">
              <w:t xml:space="preserve">– </w:t>
            </w:r>
            <w:r w:rsidR="008976AC">
              <w:t>Structure Influence Zone</w:t>
            </w:r>
          </w:p>
        </w:tc>
      </w:tr>
      <w:tr w:rsidR="00555224" w:rsidRPr="00D64245" w14:paraId="1752606A" w14:textId="77777777" w:rsidTr="00A72E5C">
        <w:trPr>
          <w:trHeight w:val="413"/>
        </w:trPr>
        <w:tc>
          <w:tcPr>
            <w:tcW w:w="10790" w:type="dxa"/>
            <w:shd w:val="clear" w:color="auto" w:fill="auto"/>
          </w:tcPr>
          <w:p w14:paraId="69CA775F" w14:textId="0A5736B7" w:rsidR="00555224" w:rsidRPr="00555224" w:rsidRDefault="00A53B6C" w:rsidP="000F5C94">
            <w:pPr>
              <w:spacing w:before="100" w:beforeAutospacing="1" w:after="100" w:afterAutospacing="1" w:line="276" w:lineRule="auto"/>
              <w:rPr>
                <w:b/>
              </w:rPr>
            </w:pPr>
            <w:r>
              <w:rPr>
                <w:b/>
              </w:rPr>
              <w:t>SO</w:t>
            </w:r>
            <w:r w:rsidR="00555224">
              <w:rPr>
                <w:b/>
              </w:rPr>
              <w:t xml:space="preserve"> </w:t>
            </w:r>
            <w:r w:rsidR="00555224" w:rsidRPr="00555224">
              <w:t>– S</w:t>
            </w:r>
            <w:r>
              <w:t>ource – Source types, locations, and parameters/emissions, building parameters for downwash, and source groups</w:t>
            </w:r>
          </w:p>
        </w:tc>
      </w:tr>
      <w:tr w:rsidR="00555224" w:rsidRPr="00D64245" w14:paraId="4881A060" w14:textId="77777777" w:rsidTr="00A72E5C">
        <w:trPr>
          <w:trHeight w:val="413"/>
        </w:trPr>
        <w:tc>
          <w:tcPr>
            <w:tcW w:w="10790" w:type="dxa"/>
            <w:shd w:val="clear" w:color="auto" w:fill="auto"/>
          </w:tcPr>
          <w:p w14:paraId="58622711" w14:textId="0B6881BB" w:rsidR="00555224" w:rsidRPr="00A53B6C" w:rsidRDefault="00555224" w:rsidP="000F5C94">
            <w:pPr>
              <w:spacing w:before="240" w:line="276" w:lineRule="auto"/>
              <w:rPr>
                <w:sz w:val="24"/>
                <w:szCs w:val="24"/>
              </w:rPr>
            </w:pPr>
            <w:r>
              <w:rPr>
                <w:b/>
              </w:rPr>
              <w:t>S</w:t>
            </w:r>
            <w:r w:rsidR="00A53B6C">
              <w:rPr>
                <w:b/>
              </w:rPr>
              <w:t>olar Radiation (incoming)</w:t>
            </w:r>
            <w:r>
              <w:rPr>
                <w:b/>
              </w:rPr>
              <w:t xml:space="preserve"> </w:t>
            </w:r>
            <w:r w:rsidRPr="00555224">
              <w:t xml:space="preserve">– </w:t>
            </w:r>
            <w:r w:rsidR="00A53B6C">
              <w:rPr>
                <w:sz w:val="24"/>
                <w:szCs w:val="24"/>
              </w:rPr>
              <w:t>(R) Solar radiation received at the surface.</w:t>
            </w:r>
          </w:p>
        </w:tc>
      </w:tr>
      <w:tr w:rsidR="00555224" w:rsidRPr="00D64245" w14:paraId="0D2B182D" w14:textId="77777777" w:rsidTr="00A72E5C">
        <w:trPr>
          <w:trHeight w:val="413"/>
        </w:trPr>
        <w:tc>
          <w:tcPr>
            <w:tcW w:w="10790" w:type="dxa"/>
            <w:shd w:val="clear" w:color="auto" w:fill="auto"/>
          </w:tcPr>
          <w:p w14:paraId="0B45BB32" w14:textId="10CF88B3" w:rsidR="00555224" w:rsidRDefault="00555224" w:rsidP="000F5C94">
            <w:pPr>
              <w:spacing w:before="100" w:beforeAutospacing="1" w:after="100" w:afterAutospacing="1" w:line="276" w:lineRule="auto"/>
              <w:rPr>
                <w:b/>
              </w:rPr>
            </w:pPr>
            <w:r>
              <w:rPr>
                <w:b/>
              </w:rPr>
              <w:t>S</w:t>
            </w:r>
            <w:r w:rsidR="00A53B6C">
              <w:rPr>
                <w:b/>
              </w:rPr>
              <w:t xml:space="preserve">tability </w:t>
            </w:r>
            <w:r w:rsidR="00A53B6C">
              <w:t>– The ability of atmosphere to either enhance or suppress vertical motion</w:t>
            </w:r>
          </w:p>
        </w:tc>
      </w:tr>
      <w:tr w:rsidR="00555224" w:rsidRPr="00D64245" w14:paraId="0E2DF655" w14:textId="77777777" w:rsidTr="00A72E5C">
        <w:trPr>
          <w:trHeight w:val="413"/>
        </w:trPr>
        <w:tc>
          <w:tcPr>
            <w:tcW w:w="10790" w:type="dxa"/>
            <w:shd w:val="clear" w:color="auto" w:fill="auto"/>
          </w:tcPr>
          <w:p w14:paraId="509F668C" w14:textId="159E7BC3" w:rsidR="00555224" w:rsidRDefault="00555224" w:rsidP="000F5C94">
            <w:pPr>
              <w:spacing w:before="100" w:beforeAutospacing="1" w:after="100" w:afterAutospacing="1" w:line="276" w:lineRule="auto"/>
              <w:rPr>
                <w:b/>
              </w:rPr>
            </w:pPr>
            <w:r>
              <w:rPr>
                <w:b/>
              </w:rPr>
              <w:t>S</w:t>
            </w:r>
            <w:r w:rsidR="00A53B6C">
              <w:rPr>
                <w:b/>
              </w:rPr>
              <w:t>table</w:t>
            </w:r>
            <w:r>
              <w:rPr>
                <w:b/>
              </w:rPr>
              <w:t xml:space="preserve"> </w:t>
            </w:r>
            <w:r w:rsidRPr="00555224">
              <w:t xml:space="preserve">– </w:t>
            </w:r>
            <w:r w:rsidR="00A53B6C">
              <w:t xml:space="preserve">Vertical movement is suppressed; a parcel tends to return to its original position (Lapse Rate &gt; - 9.8 </w:t>
            </w:r>
            <w:r w:rsidR="00A53B6C" w:rsidRPr="00A53B6C">
              <w:rPr>
                <w:vertAlign w:val="superscript"/>
              </w:rPr>
              <w:t>o</w:t>
            </w:r>
            <w:r w:rsidR="00A53B6C">
              <w:t>K/Km)</w:t>
            </w:r>
          </w:p>
        </w:tc>
      </w:tr>
      <w:tr w:rsidR="00555224" w:rsidRPr="00D64245" w14:paraId="0333FCF2" w14:textId="77777777" w:rsidTr="00A72E5C">
        <w:trPr>
          <w:trHeight w:val="413"/>
        </w:trPr>
        <w:tc>
          <w:tcPr>
            <w:tcW w:w="10790" w:type="dxa"/>
            <w:shd w:val="clear" w:color="auto" w:fill="auto"/>
          </w:tcPr>
          <w:p w14:paraId="38BB4432" w14:textId="7142E390" w:rsidR="00555224" w:rsidRPr="00A53B6C" w:rsidRDefault="00555224" w:rsidP="000F5C94">
            <w:pPr>
              <w:spacing w:before="240" w:line="276" w:lineRule="auto"/>
              <w:rPr>
                <w:sz w:val="24"/>
                <w:szCs w:val="24"/>
              </w:rPr>
            </w:pPr>
            <w:r>
              <w:rPr>
                <w:b/>
              </w:rPr>
              <w:t>S</w:t>
            </w:r>
            <w:r w:rsidR="00A53B6C">
              <w:rPr>
                <w:b/>
              </w:rPr>
              <w:t>urface Heat Flux</w:t>
            </w:r>
            <w:r>
              <w:rPr>
                <w:b/>
              </w:rPr>
              <w:t xml:space="preserve"> </w:t>
            </w:r>
            <w:r w:rsidRPr="00555224">
              <w:t xml:space="preserve">– </w:t>
            </w:r>
            <w:r w:rsidR="00A53B6C">
              <w:rPr>
                <w:sz w:val="24"/>
                <w:szCs w:val="24"/>
              </w:rPr>
              <w:t>(H) Transfer of heat energy from the surface to the adjacent air without a change in phase (e.g. without evaporation).</w:t>
            </w:r>
            <w:r w:rsidR="00542A03">
              <w:rPr>
                <w:sz w:val="24"/>
                <w:szCs w:val="24"/>
              </w:rPr>
              <w:t xml:space="preserve">  Also known as sensible heat flux.</w:t>
            </w:r>
          </w:p>
        </w:tc>
      </w:tr>
      <w:tr w:rsidR="00555224" w:rsidRPr="00D64245" w14:paraId="609DD098" w14:textId="77777777" w:rsidTr="00A72E5C">
        <w:trPr>
          <w:trHeight w:val="413"/>
        </w:trPr>
        <w:tc>
          <w:tcPr>
            <w:tcW w:w="10790" w:type="dxa"/>
            <w:shd w:val="clear" w:color="auto" w:fill="auto"/>
          </w:tcPr>
          <w:p w14:paraId="22B3A3C0" w14:textId="1A544CAB" w:rsidR="00555224" w:rsidRDefault="00555224" w:rsidP="000F5C94">
            <w:pPr>
              <w:spacing w:before="100" w:beforeAutospacing="1" w:after="100" w:afterAutospacing="1" w:line="276" w:lineRule="auto"/>
              <w:rPr>
                <w:b/>
              </w:rPr>
            </w:pPr>
            <w:r>
              <w:rPr>
                <w:b/>
              </w:rPr>
              <w:t>S</w:t>
            </w:r>
            <w:r w:rsidR="00A53B6C">
              <w:rPr>
                <w:b/>
              </w:rPr>
              <w:t>table Conditions</w:t>
            </w:r>
            <w:r>
              <w:rPr>
                <w:b/>
              </w:rPr>
              <w:t xml:space="preserve"> </w:t>
            </w:r>
            <w:r w:rsidRPr="00555224">
              <w:t xml:space="preserve">– </w:t>
            </w:r>
            <w:r w:rsidR="00A53B6C">
              <w:t>(L &gt; 0)</w:t>
            </w:r>
          </w:p>
        </w:tc>
      </w:tr>
      <w:tr w:rsidR="00555224" w:rsidRPr="00D64245" w14:paraId="6FFBC0D5" w14:textId="77777777" w:rsidTr="00A72E5C">
        <w:trPr>
          <w:trHeight w:val="413"/>
        </w:trPr>
        <w:tc>
          <w:tcPr>
            <w:tcW w:w="10790" w:type="dxa"/>
            <w:shd w:val="clear" w:color="auto" w:fill="auto"/>
          </w:tcPr>
          <w:p w14:paraId="33918082" w14:textId="55B29754" w:rsidR="00555224" w:rsidRPr="00A53B6C" w:rsidRDefault="00555224" w:rsidP="000F5C94">
            <w:pPr>
              <w:spacing w:before="240" w:line="276" w:lineRule="auto"/>
              <w:rPr>
                <w:sz w:val="24"/>
                <w:szCs w:val="24"/>
              </w:rPr>
            </w:pPr>
            <w:r>
              <w:rPr>
                <w:b/>
              </w:rPr>
              <w:t>S</w:t>
            </w:r>
            <w:r w:rsidR="00A53B6C">
              <w:rPr>
                <w:b/>
              </w:rPr>
              <w:t>urface Roughness Length</w:t>
            </w:r>
            <w:r>
              <w:rPr>
                <w:b/>
              </w:rPr>
              <w:t xml:space="preserve"> </w:t>
            </w:r>
            <w:r w:rsidRPr="00555224">
              <w:t xml:space="preserve">– </w:t>
            </w:r>
            <w:r w:rsidR="00A53B6C">
              <w:rPr>
                <w:sz w:val="24"/>
                <w:szCs w:val="24"/>
              </w:rPr>
              <w:t>(z</w:t>
            </w:r>
            <w:r w:rsidR="00A53B6C">
              <w:rPr>
                <w:sz w:val="24"/>
                <w:szCs w:val="24"/>
                <w:vertAlign w:val="subscript"/>
              </w:rPr>
              <w:t>o</w:t>
            </w:r>
            <w:r w:rsidR="00A53B6C">
              <w:rPr>
                <w:sz w:val="24"/>
                <w:szCs w:val="24"/>
              </w:rPr>
              <w:t>) Characteristic length scale representing the roughness of the earth’s surface.  Typically ranging from 0.001 for ice or smooth water to over a meter for suburban and urban areas.</w:t>
            </w:r>
          </w:p>
        </w:tc>
      </w:tr>
      <w:tr w:rsidR="0066157B" w:rsidRPr="00D64245" w14:paraId="3A54A0D9" w14:textId="77777777" w:rsidTr="00A72E5C">
        <w:trPr>
          <w:trHeight w:val="413"/>
        </w:trPr>
        <w:tc>
          <w:tcPr>
            <w:tcW w:w="10790" w:type="dxa"/>
            <w:shd w:val="clear" w:color="auto" w:fill="E2EFD9" w:themeFill="accent6" w:themeFillTint="33"/>
          </w:tcPr>
          <w:p w14:paraId="186A1FDA" w14:textId="441DD60E" w:rsidR="0066157B" w:rsidRDefault="0066157B" w:rsidP="000F5C94">
            <w:pPr>
              <w:spacing w:before="100" w:beforeAutospacing="1" w:after="100" w:afterAutospacing="1" w:line="276" w:lineRule="auto"/>
            </w:pPr>
            <w:r>
              <w:rPr>
                <w:rFonts w:ascii="Arial Narrow" w:hAnsi="Arial Narrow"/>
                <w:b/>
                <w:sz w:val="32"/>
                <w:szCs w:val="32"/>
              </w:rPr>
              <w:t>T</w:t>
            </w:r>
          </w:p>
        </w:tc>
      </w:tr>
      <w:tr w:rsidR="001E241E" w:rsidRPr="00D64245" w14:paraId="2B63BED7" w14:textId="77777777" w:rsidTr="00A72E5C">
        <w:trPr>
          <w:trHeight w:val="413"/>
        </w:trPr>
        <w:tc>
          <w:tcPr>
            <w:tcW w:w="10790" w:type="dxa"/>
            <w:shd w:val="clear" w:color="auto" w:fill="auto"/>
          </w:tcPr>
          <w:p w14:paraId="2B7E67E0" w14:textId="561B9709" w:rsidR="001E241E" w:rsidRPr="001D70D3" w:rsidRDefault="001E241E" w:rsidP="000F5C94">
            <w:pPr>
              <w:spacing w:before="240" w:line="276" w:lineRule="auto"/>
              <w:rPr>
                <w:sz w:val="24"/>
                <w:szCs w:val="24"/>
              </w:rPr>
            </w:pPr>
            <w:r>
              <w:rPr>
                <w:b/>
              </w:rPr>
              <w:t>T</w:t>
            </w:r>
            <w:r w:rsidR="001D70D3">
              <w:rPr>
                <w:b/>
              </w:rPr>
              <w:t>emperature Scale</w:t>
            </w:r>
            <w:r>
              <w:rPr>
                <w:b/>
              </w:rPr>
              <w:t xml:space="preserve"> </w:t>
            </w:r>
            <w:r w:rsidRPr="001E241E">
              <w:t xml:space="preserve">– </w:t>
            </w:r>
            <w:r w:rsidR="001D70D3">
              <w:rPr>
                <w:sz w:val="24"/>
                <w:szCs w:val="24"/>
              </w:rPr>
              <w:t>(</w:t>
            </w:r>
            <w:r w:rsidR="001D70D3">
              <w:rPr>
                <w:rFonts w:cstheme="minorHAnsi"/>
                <w:sz w:val="24"/>
                <w:szCs w:val="24"/>
              </w:rPr>
              <w:t>Ɵ</w:t>
            </w:r>
            <w:r w:rsidR="001D70D3">
              <w:rPr>
                <w:rFonts w:cstheme="minorHAnsi"/>
                <w:sz w:val="24"/>
                <w:szCs w:val="24"/>
                <w:vertAlign w:val="subscript"/>
              </w:rPr>
              <w:t>*</w:t>
            </w:r>
            <w:r w:rsidR="001D70D3">
              <w:rPr>
                <w:sz w:val="24"/>
                <w:szCs w:val="24"/>
              </w:rPr>
              <w:t>) Characteristic temperature of the shear-induced turbulent eddies.</w:t>
            </w:r>
          </w:p>
        </w:tc>
      </w:tr>
      <w:tr w:rsidR="001E241E" w:rsidRPr="00D64245" w14:paraId="30D964A9" w14:textId="77777777" w:rsidTr="00A72E5C">
        <w:trPr>
          <w:trHeight w:val="413"/>
        </w:trPr>
        <w:tc>
          <w:tcPr>
            <w:tcW w:w="10790" w:type="dxa"/>
            <w:shd w:val="clear" w:color="auto" w:fill="auto"/>
          </w:tcPr>
          <w:p w14:paraId="6B838D87" w14:textId="5BECDD7A" w:rsidR="001E241E" w:rsidRPr="00555224" w:rsidRDefault="001E241E" w:rsidP="000F5C94">
            <w:pPr>
              <w:spacing w:before="100" w:beforeAutospacing="1" w:after="100" w:afterAutospacing="1" w:line="276" w:lineRule="auto"/>
              <w:rPr>
                <w:b/>
              </w:rPr>
            </w:pPr>
            <w:r w:rsidRPr="00555224">
              <w:rPr>
                <w:b/>
              </w:rPr>
              <w:t>T</w:t>
            </w:r>
            <w:r w:rsidR="001D70D3">
              <w:rPr>
                <w:b/>
              </w:rPr>
              <w:t>urbulence</w:t>
            </w:r>
            <w:r>
              <w:t xml:space="preserve"> – </w:t>
            </w:r>
            <w:r w:rsidR="001D70D3">
              <w:t>In general, irregular, random, chaotic notion resulting from varying size eddies of air</w:t>
            </w:r>
          </w:p>
        </w:tc>
      </w:tr>
      <w:tr w:rsidR="00492173" w:rsidRPr="00D64245" w14:paraId="3AD4CB73" w14:textId="77777777" w:rsidTr="00A72E5C">
        <w:trPr>
          <w:trHeight w:val="413"/>
        </w:trPr>
        <w:tc>
          <w:tcPr>
            <w:tcW w:w="10790" w:type="dxa"/>
            <w:shd w:val="clear" w:color="auto" w:fill="E2EFD9" w:themeFill="accent6" w:themeFillTint="33"/>
          </w:tcPr>
          <w:p w14:paraId="2AD14F1D" w14:textId="35B2C94A" w:rsidR="00492173" w:rsidRPr="00555224" w:rsidRDefault="00492173" w:rsidP="000F5C94">
            <w:pPr>
              <w:spacing w:before="100" w:beforeAutospacing="1" w:after="100" w:afterAutospacing="1" w:line="276" w:lineRule="auto"/>
              <w:rPr>
                <w:b/>
              </w:rPr>
            </w:pPr>
            <w:r>
              <w:rPr>
                <w:rFonts w:ascii="Arial Narrow" w:hAnsi="Arial Narrow"/>
                <w:b/>
                <w:sz w:val="32"/>
                <w:szCs w:val="32"/>
              </w:rPr>
              <w:t>U</w:t>
            </w:r>
          </w:p>
        </w:tc>
      </w:tr>
      <w:tr w:rsidR="00492173" w:rsidRPr="00D64245" w14:paraId="68845051" w14:textId="77777777" w:rsidTr="00A72E5C">
        <w:trPr>
          <w:trHeight w:val="413"/>
        </w:trPr>
        <w:tc>
          <w:tcPr>
            <w:tcW w:w="10790" w:type="dxa"/>
            <w:shd w:val="clear" w:color="auto" w:fill="auto"/>
          </w:tcPr>
          <w:p w14:paraId="2BC96715" w14:textId="1DE904EF" w:rsidR="00492173" w:rsidRPr="00492173" w:rsidRDefault="00492173" w:rsidP="000F5C94">
            <w:pPr>
              <w:spacing w:before="100" w:beforeAutospacing="1" w:after="100" w:afterAutospacing="1" w:line="276" w:lineRule="auto"/>
            </w:pPr>
            <w:r>
              <w:rPr>
                <w:b/>
              </w:rPr>
              <w:t xml:space="preserve">U </w:t>
            </w:r>
            <w:r>
              <w:t>– Wind Speed</w:t>
            </w:r>
          </w:p>
        </w:tc>
      </w:tr>
      <w:tr w:rsidR="00492173" w:rsidRPr="00D64245" w14:paraId="1B631B70" w14:textId="77777777" w:rsidTr="00A72E5C">
        <w:trPr>
          <w:trHeight w:val="413"/>
        </w:trPr>
        <w:tc>
          <w:tcPr>
            <w:tcW w:w="10790" w:type="dxa"/>
            <w:shd w:val="clear" w:color="auto" w:fill="auto"/>
          </w:tcPr>
          <w:p w14:paraId="31FB93D5" w14:textId="49114779" w:rsidR="00492173" w:rsidRPr="00492173" w:rsidRDefault="00492173" w:rsidP="000F5C94">
            <w:pPr>
              <w:spacing w:before="100" w:beforeAutospacing="1" w:after="100" w:afterAutospacing="1" w:line="276" w:lineRule="auto"/>
            </w:pPr>
            <w:r>
              <w:rPr>
                <w:b/>
              </w:rPr>
              <w:t>U</w:t>
            </w:r>
            <w:r w:rsidRPr="00492173">
              <w:rPr>
                <w:b/>
                <w:vertAlign w:val="subscript"/>
              </w:rPr>
              <w:t>*</w:t>
            </w:r>
            <w:r>
              <w:t xml:space="preserve"> – Friction Velocity</w:t>
            </w:r>
            <w:r w:rsidR="00542A03">
              <w:t xml:space="preserve"> (see above)</w:t>
            </w:r>
          </w:p>
        </w:tc>
      </w:tr>
      <w:tr w:rsidR="00492173" w:rsidRPr="00D64245" w14:paraId="21519FA4" w14:textId="77777777" w:rsidTr="00A72E5C">
        <w:trPr>
          <w:trHeight w:val="413"/>
        </w:trPr>
        <w:tc>
          <w:tcPr>
            <w:tcW w:w="10790" w:type="dxa"/>
            <w:shd w:val="clear" w:color="auto" w:fill="auto"/>
          </w:tcPr>
          <w:p w14:paraId="0E9265A2" w14:textId="183B3130" w:rsidR="00492173" w:rsidRPr="00492173" w:rsidRDefault="00492173" w:rsidP="000F5C94">
            <w:pPr>
              <w:spacing w:before="100" w:beforeAutospacing="1" w:after="100" w:afterAutospacing="1" w:line="276" w:lineRule="auto"/>
            </w:pPr>
            <w:r>
              <w:rPr>
                <w:b/>
              </w:rPr>
              <w:t xml:space="preserve">Unstable </w:t>
            </w:r>
            <w:r>
              <w:t xml:space="preserve">– Vertical movement is enhanced; a parcel tends to continue in the direction of its initial motion (Lapse Rate &lt; - 9.8 </w:t>
            </w:r>
            <w:r w:rsidRPr="00492173">
              <w:rPr>
                <w:vertAlign w:val="superscript"/>
              </w:rPr>
              <w:t>o</w:t>
            </w:r>
            <w:r>
              <w:t>K/Km)</w:t>
            </w:r>
          </w:p>
        </w:tc>
      </w:tr>
      <w:tr w:rsidR="00521A03" w:rsidRPr="00D64245" w14:paraId="08450B94" w14:textId="77777777" w:rsidTr="00A72E5C">
        <w:trPr>
          <w:trHeight w:val="413"/>
        </w:trPr>
        <w:tc>
          <w:tcPr>
            <w:tcW w:w="10790" w:type="dxa"/>
            <w:shd w:val="clear" w:color="auto" w:fill="auto"/>
          </w:tcPr>
          <w:p w14:paraId="6099D31E" w14:textId="2F9ECE32" w:rsidR="00521A03" w:rsidRPr="00521A03" w:rsidRDefault="00521A03" w:rsidP="000F5C94">
            <w:pPr>
              <w:spacing w:before="100" w:beforeAutospacing="1" w:after="100" w:afterAutospacing="1" w:line="276" w:lineRule="auto"/>
            </w:pPr>
            <w:r>
              <w:rPr>
                <w:b/>
              </w:rPr>
              <w:t xml:space="preserve">USGS </w:t>
            </w:r>
            <w:r>
              <w:t>– United States Geological Survey</w:t>
            </w:r>
          </w:p>
        </w:tc>
      </w:tr>
      <w:tr w:rsidR="00521A03" w:rsidRPr="00D64245" w14:paraId="2E41E67F" w14:textId="77777777" w:rsidTr="00A72E5C">
        <w:trPr>
          <w:trHeight w:val="413"/>
        </w:trPr>
        <w:tc>
          <w:tcPr>
            <w:tcW w:w="10790" w:type="dxa"/>
            <w:shd w:val="clear" w:color="auto" w:fill="auto"/>
          </w:tcPr>
          <w:p w14:paraId="49B134C3" w14:textId="3F983DBF" w:rsidR="00521A03" w:rsidRPr="00521A03" w:rsidRDefault="00521A03" w:rsidP="000F5C94">
            <w:pPr>
              <w:spacing w:before="100" w:beforeAutospacing="1" w:after="100" w:afterAutospacing="1" w:line="276" w:lineRule="auto"/>
            </w:pPr>
            <w:r>
              <w:rPr>
                <w:b/>
              </w:rPr>
              <w:t xml:space="preserve">UTM </w:t>
            </w:r>
            <w:r>
              <w:t>– Universal Transverse Mercator, a plane coordinate grid system named for the map projection on which it is based (Transverse Mercator). The UTM system consists of 60 zones, each 6-degrees of longitude in width.</w:t>
            </w:r>
          </w:p>
        </w:tc>
      </w:tr>
      <w:tr w:rsidR="0066157B" w:rsidRPr="00D64245" w14:paraId="52D13FC5" w14:textId="77777777" w:rsidTr="00A72E5C">
        <w:trPr>
          <w:trHeight w:val="413"/>
        </w:trPr>
        <w:tc>
          <w:tcPr>
            <w:tcW w:w="10790" w:type="dxa"/>
            <w:shd w:val="clear" w:color="auto" w:fill="E2EFD9" w:themeFill="accent6" w:themeFillTint="33"/>
          </w:tcPr>
          <w:p w14:paraId="0BF1B59F" w14:textId="0D3E00D6" w:rsidR="0066157B" w:rsidRDefault="001E241E" w:rsidP="000F5C94">
            <w:pPr>
              <w:spacing w:before="100" w:beforeAutospacing="1" w:after="100" w:afterAutospacing="1" w:line="276" w:lineRule="auto"/>
            </w:pPr>
            <w:r>
              <w:rPr>
                <w:rFonts w:ascii="Arial Narrow" w:hAnsi="Arial Narrow"/>
                <w:b/>
                <w:sz w:val="32"/>
                <w:szCs w:val="32"/>
              </w:rPr>
              <w:t>V</w:t>
            </w:r>
          </w:p>
        </w:tc>
      </w:tr>
      <w:tr w:rsidR="0066157B" w:rsidRPr="00D64245" w14:paraId="57D03BA2" w14:textId="77777777" w:rsidTr="00A72E5C">
        <w:trPr>
          <w:trHeight w:val="413"/>
        </w:trPr>
        <w:tc>
          <w:tcPr>
            <w:tcW w:w="10790" w:type="dxa"/>
            <w:shd w:val="clear" w:color="auto" w:fill="auto"/>
          </w:tcPr>
          <w:p w14:paraId="7BFA9919" w14:textId="247FBBD7" w:rsidR="0066157B" w:rsidRPr="00B64448" w:rsidRDefault="0066157B" w:rsidP="000F5C94">
            <w:pPr>
              <w:spacing w:before="240" w:line="276" w:lineRule="auto"/>
              <w:rPr>
                <w:sz w:val="24"/>
                <w:szCs w:val="24"/>
              </w:rPr>
            </w:pPr>
            <w:r w:rsidRPr="001E241E">
              <w:rPr>
                <w:b/>
              </w:rPr>
              <w:t>V</w:t>
            </w:r>
            <w:r w:rsidR="00B64448">
              <w:rPr>
                <w:b/>
              </w:rPr>
              <w:t>on Karmen Constant</w:t>
            </w:r>
            <w:r>
              <w:t xml:space="preserve"> – </w:t>
            </w:r>
            <w:r w:rsidR="00B64448">
              <w:rPr>
                <w:sz w:val="24"/>
                <w:szCs w:val="24"/>
              </w:rPr>
              <w:t>(k) Dimensionless empirical constant in the log wind profile equal to 0.4.</w:t>
            </w:r>
          </w:p>
        </w:tc>
      </w:tr>
      <w:tr w:rsidR="001E241E" w:rsidRPr="00D64245" w14:paraId="1495EC5A" w14:textId="77777777" w:rsidTr="00A72E5C">
        <w:trPr>
          <w:trHeight w:val="413"/>
        </w:trPr>
        <w:tc>
          <w:tcPr>
            <w:tcW w:w="10790" w:type="dxa"/>
            <w:shd w:val="clear" w:color="auto" w:fill="auto"/>
          </w:tcPr>
          <w:p w14:paraId="4D10B253" w14:textId="6E6D8031" w:rsidR="001E241E" w:rsidRDefault="001E241E" w:rsidP="000F5C94">
            <w:pPr>
              <w:spacing w:before="100" w:beforeAutospacing="1" w:after="100" w:afterAutospacing="1" w:line="276" w:lineRule="auto"/>
            </w:pPr>
            <w:r w:rsidRPr="001E241E">
              <w:rPr>
                <w:b/>
              </w:rPr>
              <w:t>VEE</w:t>
            </w:r>
            <w:r>
              <w:t xml:space="preserve"> – Visible Emissions Evaluation</w:t>
            </w:r>
          </w:p>
        </w:tc>
      </w:tr>
      <w:tr w:rsidR="001E241E" w:rsidRPr="00D64245" w14:paraId="584E9105" w14:textId="77777777" w:rsidTr="00A72E5C">
        <w:trPr>
          <w:trHeight w:val="413"/>
        </w:trPr>
        <w:tc>
          <w:tcPr>
            <w:tcW w:w="10790" w:type="dxa"/>
            <w:shd w:val="clear" w:color="auto" w:fill="auto"/>
          </w:tcPr>
          <w:p w14:paraId="01EC10D6" w14:textId="1E11D6D6" w:rsidR="001E241E" w:rsidRDefault="001E241E" w:rsidP="000F5C94">
            <w:pPr>
              <w:spacing w:before="100" w:beforeAutospacing="1" w:after="100" w:afterAutospacing="1" w:line="276" w:lineRule="auto"/>
            </w:pPr>
            <w:r w:rsidRPr="001E241E">
              <w:rPr>
                <w:b/>
              </w:rPr>
              <w:t>VOC</w:t>
            </w:r>
            <w:r>
              <w:t xml:space="preserve"> – Volatile Organic Compound</w:t>
            </w:r>
          </w:p>
        </w:tc>
      </w:tr>
      <w:tr w:rsidR="0066157B" w:rsidRPr="00D64245" w14:paraId="0E9D7D05" w14:textId="77777777" w:rsidTr="00A72E5C">
        <w:trPr>
          <w:trHeight w:val="413"/>
        </w:trPr>
        <w:tc>
          <w:tcPr>
            <w:tcW w:w="10790" w:type="dxa"/>
            <w:shd w:val="clear" w:color="auto" w:fill="E2EFD9" w:themeFill="accent6" w:themeFillTint="33"/>
          </w:tcPr>
          <w:p w14:paraId="6F6EF442" w14:textId="1597D357" w:rsidR="0066157B" w:rsidRDefault="001E241E" w:rsidP="000F5C94">
            <w:pPr>
              <w:spacing w:before="100" w:beforeAutospacing="1" w:after="100" w:afterAutospacing="1" w:line="276" w:lineRule="auto"/>
            </w:pPr>
            <w:r>
              <w:rPr>
                <w:rFonts w:ascii="Arial Narrow" w:hAnsi="Arial Narrow"/>
                <w:b/>
                <w:sz w:val="32"/>
                <w:szCs w:val="32"/>
              </w:rPr>
              <w:t>W</w:t>
            </w:r>
          </w:p>
        </w:tc>
      </w:tr>
      <w:tr w:rsidR="00B64448" w:rsidRPr="00D64245" w14:paraId="6BE1919E" w14:textId="77777777" w:rsidTr="00A72E5C">
        <w:trPr>
          <w:trHeight w:val="413"/>
        </w:trPr>
        <w:tc>
          <w:tcPr>
            <w:tcW w:w="10790" w:type="dxa"/>
            <w:shd w:val="clear" w:color="auto" w:fill="auto"/>
          </w:tcPr>
          <w:p w14:paraId="1E02C8E4" w14:textId="107CA750" w:rsidR="00B64448" w:rsidRPr="00B64448" w:rsidRDefault="00B64448" w:rsidP="000F5C94">
            <w:pPr>
              <w:spacing w:before="240" w:line="276" w:lineRule="auto"/>
            </w:pPr>
            <w:r>
              <w:rPr>
                <w:b/>
              </w:rPr>
              <w:lastRenderedPageBreak/>
              <w:t>W</w:t>
            </w:r>
            <w:r w:rsidRPr="00B64448">
              <w:rPr>
                <w:b/>
                <w:vertAlign w:val="subscript"/>
              </w:rPr>
              <w:t>*</w:t>
            </w:r>
            <w:r>
              <w:rPr>
                <w:b/>
              </w:rPr>
              <w:t xml:space="preserve"> </w:t>
            </w:r>
            <w:r>
              <w:t>– Convective Velocity Scale</w:t>
            </w:r>
          </w:p>
        </w:tc>
      </w:tr>
      <w:tr w:rsidR="00A72E5C" w:rsidRPr="00D64245" w14:paraId="1F7DB6D6" w14:textId="77777777" w:rsidTr="00A72E5C">
        <w:trPr>
          <w:trHeight w:val="413"/>
        </w:trPr>
        <w:tc>
          <w:tcPr>
            <w:tcW w:w="10790" w:type="dxa"/>
            <w:shd w:val="clear" w:color="auto" w:fill="auto"/>
          </w:tcPr>
          <w:p w14:paraId="39D0EF6B" w14:textId="73CB9616" w:rsidR="00A72E5C" w:rsidRPr="00A72E5C" w:rsidRDefault="00A72E5C" w:rsidP="000F5C94">
            <w:pPr>
              <w:spacing w:before="240" w:line="276" w:lineRule="auto"/>
              <w:rPr>
                <w:bCs/>
              </w:rPr>
            </w:pPr>
            <w:r>
              <w:rPr>
                <w:b/>
              </w:rPr>
              <w:t>Wind Direction</w:t>
            </w:r>
            <w:r>
              <w:rPr>
                <w:bCs/>
              </w:rPr>
              <w:t xml:space="preserve"> – The direction from which the wind is blowing.  Ex: wind direction of 180</w:t>
            </w:r>
            <w:r>
              <w:rPr>
                <w:rFonts w:cstheme="minorHAnsi"/>
                <w:bCs/>
              </w:rPr>
              <w:t>° is from the South; 90° from the East.</w:t>
            </w:r>
          </w:p>
        </w:tc>
      </w:tr>
      <w:tr w:rsidR="00555224" w:rsidRPr="00D64245" w14:paraId="38A6787E" w14:textId="77777777" w:rsidTr="00A72E5C">
        <w:trPr>
          <w:trHeight w:val="413"/>
        </w:trPr>
        <w:tc>
          <w:tcPr>
            <w:tcW w:w="10790" w:type="dxa"/>
            <w:shd w:val="clear" w:color="auto" w:fill="auto"/>
          </w:tcPr>
          <w:p w14:paraId="3A49B4B6" w14:textId="1F4334AA" w:rsidR="00555224" w:rsidRPr="00B64448" w:rsidRDefault="001E241E" w:rsidP="000F5C94">
            <w:pPr>
              <w:spacing w:before="240" w:line="276" w:lineRule="auto"/>
              <w:rPr>
                <w:sz w:val="24"/>
                <w:szCs w:val="24"/>
              </w:rPr>
            </w:pPr>
            <w:r w:rsidRPr="001E241E">
              <w:rPr>
                <w:b/>
              </w:rPr>
              <w:t>W</w:t>
            </w:r>
            <w:r w:rsidR="00B64448">
              <w:rPr>
                <w:b/>
              </w:rPr>
              <w:t>ind Shear</w:t>
            </w:r>
            <w:r>
              <w:t xml:space="preserve"> – </w:t>
            </w:r>
            <w:r w:rsidR="00B64448">
              <w:rPr>
                <w:sz w:val="24"/>
                <w:szCs w:val="24"/>
              </w:rPr>
              <w:t>Variation in wind speed with height from the ground (or with distance from a solid surface such as a building side or top).</w:t>
            </w:r>
          </w:p>
        </w:tc>
      </w:tr>
      <w:tr w:rsidR="00B64448" w:rsidRPr="00D64245" w14:paraId="2EA43CEE" w14:textId="77777777" w:rsidTr="00A72E5C">
        <w:trPr>
          <w:trHeight w:val="413"/>
        </w:trPr>
        <w:tc>
          <w:tcPr>
            <w:tcW w:w="10790" w:type="dxa"/>
            <w:shd w:val="clear" w:color="auto" w:fill="auto"/>
          </w:tcPr>
          <w:p w14:paraId="1A78FD90" w14:textId="346BFA14" w:rsidR="00B64448" w:rsidRPr="00B64448" w:rsidRDefault="00B64448" w:rsidP="000F5C94">
            <w:pPr>
              <w:spacing w:before="240" w:line="276" w:lineRule="auto"/>
            </w:pPr>
            <w:r w:rsidRPr="0029144F">
              <w:rPr>
                <w:b/>
              </w:rPr>
              <w:t xml:space="preserve">WRF </w:t>
            </w:r>
            <w:r w:rsidRPr="0029144F">
              <w:t xml:space="preserve">– </w:t>
            </w:r>
            <w:r w:rsidR="00542A03">
              <w:t xml:space="preserve">Weather Research and Forecasting Model (prognostic </w:t>
            </w:r>
            <w:r w:rsidR="00EE3FC3">
              <w:t>meteorological model</w:t>
            </w:r>
            <w:r w:rsidR="00542A03">
              <w:t>)</w:t>
            </w:r>
          </w:p>
        </w:tc>
      </w:tr>
      <w:tr w:rsidR="005F025A" w:rsidRPr="00D64245" w14:paraId="7497D4B3" w14:textId="77777777" w:rsidTr="00A72E5C">
        <w:trPr>
          <w:trHeight w:val="413"/>
        </w:trPr>
        <w:tc>
          <w:tcPr>
            <w:tcW w:w="10790" w:type="dxa"/>
            <w:shd w:val="clear" w:color="auto" w:fill="E2EFD9" w:themeFill="accent6" w:themeFillTint="33"/>
          </w:tcPr>
          <w:p w14:paraId="7E2F3882" w14:textId="55942793" w:rsidR="005F025A" w:rsidRPr="001E241E" w:rsidRDefault="005F025A" w:rsidP="000F5C94">
            <w:pPr>
              <w:spacing w:before="100" w:beforeAutospacing="1" w:after="100" w:afterAutospacing="1" w:line="276" w:lineRule="auto"/>
              <w:rPr>
                <w:b/>
              </w:rPr>
            </w:pPr>
            <w:r>
              <w:rPr>
                <w:rFonts w:ascii="Arial Narrow" w:hAnsi="Arial Narrow"/>
                <w:b/>
                <w:sz w:val="32"/>
                <w:szCs w:val="32"/>
              </w:rPr>
              <w:t>Z</w:t>
            </w:r>
          </w:p>
        </w:tc>
      </w:tr>
      <w:tr w:rsidR="005F025A" w:rsidRPr="00D64245" w14:paraId="10CFD23B" w14:textId="77777777" w:rsidTr="00A72E5C">
        <w:trPr>
          <w:trHeight w:val="413"/>
        </w:trPr>
        <w:tc>
          <w:tcPr>
            <w:tcW w:w="10790" w:type="dxa"/>
            <w:shd w:val="clear" w:color="auto" w:fill="auto"/>
          </w:tcPr>
          <w:p w14:paraId="64B50D65" w14:textId="0E3369C4" w:rsidR="005F025A" w:rsidRPr="005B614B" w:rsidRDefault="005F025A" w:rsidP="000F5C94">
            <w:pPr>
              <w:spacing w:before="100" w:beforeAutospacing="1" w:after="100" w:afterAutospacing="1" w:line="276" w:lineRule="auto"/>
              <w:rPr>
                <w:rFonts w:ascii="Arial Narrow" w:hAnsi="Arial Narrow"/>
                <w:sz w:val="32"/>
                <w:szCs w:val="32"/>
              </w:rPr>
            </w:pPr>
            <w:r>
              <w:rPr>
                <w:b/>
              </w:rPr>
              <w:t>Z</w:t>
            </w:r>
            <w:r w:rsidR="00542A03">
              <w:rPr>
                <w:b/>
                <w:vertAlign w:val="subscript"/>
              </w:rPr>
              <w:t>i</w:t>
            </w:r>
            <w:r>
              <w:rPr>
                <w:b/>
              </w:rPr>
              <w:t xml:space="preserve"> </w:t>
            </w:r>
            <w:r>
              <w:t xml:space="preserve">– Mixing Height </w:t>
            </w:r>
            <w:r w:rsidR="00542A03">
              <w:t>(</w:t>
            </w:r>
            <w:r w:rsidR="00542A03">
              <w:rPr>
                <w:sz w:val="24"/>
                <w:szCs w:val="24"/>
              </w:rPr>
              <w:t>z</w:t>
            </w:r>
            <w:r w:rsidR="00542A03">
              <w:rPr>
                <w:sz w:val="24"/>
                <w:szCs w:val="24"/>
                <w:vertAlign w:val="subscript"/>
              </w:rPr>
              <w:t>ic</w:t>
            </w:r>
            <w:r w:rsidR="005B614B">
              <w:rPr>
                <w:sz w:val="24"/>
                <w:szCs w:val="24"/>
                <w:vertAlign w:val="subscript"/>
              </w:rPr>
              <w:t xml:space="preserve"> </w:t>
            </w:r>
            <w:r w:rsidR="005B614B">
              <w:rPr>
                <w:sz w:val="24"/>
                <w:szCs w:val="24"/>
              </w:rPr>
              <w:t>for convective and z</w:t>
            </w:r>
            <w:r w:rsidR="005B614B">
              <w:rPr>
                <w:sz w:val="24"/>
                <w:szCs w:val="24"/>
                <w:vertAlign w:val="subscript"/>
              </w:rPr>
              <w:t>im</w:t>
            </w:r>
            <w:r w:rsidR="005B614B">
              <w:rPr>
                <w:sz w:val="24"/>
                <w:szCs w:val="24"/>
              </w:rPr>
              <w:t xml:space="preserve"> for stable or mechanical)</w:t>
            </w:r>
          </w:p>
        </w:tc>
      </w:tr>
      <w:tr w:rsidR="0080042E" w:rsidRPr="00D64245" w14:paraId="642F233C" w14:textId="77777777" w:rsidTr="00A72E5C">
        <w:trPr>
          <w:trHeight w:val="413"/>
        </w:trPr>
        <w:tc>
          <w:tcPr>
            <w:tcW w:w="10790" w:type="dxa"/>
            <w:shd w:val="clear" w:color="auto" w:fill="auto"/>
          </w:tcPr>
          <w:p w14:paraId="2D2E4C3A" w14:textId="7D614871" w:rsidR="0080042E" w:rsidRPr="0080042E" w:rsidRDefault="0080042E" w:rsidP="000F5C94">
            <w:pPr>
              <w:spacing w:before="100" w:beforeAutospacing="1" w:after="100" w:afterAutospacing="1" w:line="276" w:lineRule="auto"/>
            </w:pPr>
            <w:r>
              <w:rPr>
                <w:b/>
              </w:rPr>
              <w:t>Z</w:t>
            </w:r>
            <w:r w:rsidRPr="0080042E">
              <w:rPr>
                <w:b/>
                <w:vertAlign w:val="subscript"/>
              </w:rPr>
              <w:t>o</w:t>
            </w:r>
            <w:r>
              <w:rPr>
                <w:b/>
              </w:rPr>
              <w:t xml:space="preserve"> </w:t>
            </w:r>
            <w:r>
              <w:t>– Surface Roughness Length</w:t>
            </w:r>
          </w:p>
        </w:tc>
      </w:tr>
      <w:tr w:rsidR="0080042E" w:rsidRPr="00D64245" w14:paraId="7C02F538" w14:textId="77777777" w:rsidTr="00A72E5C">
        <w:trPr>
          <w:trHeight w:val="413"/>
        </w:trPr>
        <w:tc>
          <w:tcPr>
            <w:tcW w:w="10790" w:type="dxa"/>
            <w:shd w:val="clear" w:color="auto" w:fill="E2EFD9" w:themeFill="accent6" w:themeFillTint="33"/>
          </w:tcPr>
          <w:p w14:paraId="250CED93" w14:textId="188656DD" w:rsidR="0080042E" w:rsidRDefault="0080042E" w:rsidP="000F5C94">
            <w:pPr>
              <w:spacing w:before="100" w:beforeAutospacing="1" w:after="100" w:afterAutospacing="1" w:line="276" w:lineRule="auto"/>
              <w:rPr>
                <w:rFonts w:ascii="Arial Narrow" w:hAnsi="Arial Narrow"/>
                <w:b/>
                <w:sz w:val="32"/>
                <w:szCs w:val="32"/>
              </w:rPr>
            </w:pPr>
            <w:r>
              <w:rPr>
                <w:rFonts w:ascii="Arial Narrow" w:hAnsi="Arial Narrow"/>
                <w:b/>
                <w:sz w:val="32"/>
                <w:szCs w:val="32"/>
              </w:rPr>
              <w:t>Symbols</w:t>
            </w:r>
          </w:p>
        </w:tc>
      </w:tr>
      <w:tr w:rsidR="0080042E" w:rsidRPr="00D64245" w14:paraId="535E3903" w14:textId="77777777" w:rsidTr="00A72E5C">
        <w:trPr>
          <w:trHeight w:val="413"/>
        </w:trPr>
        <w:tc>
          <w:tcPr>
            <w:tcW w:w="10790" w:type="dxa"/>
            <w:shd w:val="clear" w:color="auto" w:fill="auto"/>
          </w:tcPr>
          <w:p w14:paraId="62DD0037" w14:textId="44315940" w:rsidR="0080042E" w:rsidRPr="0080042E" w:rsidRDefault="0080042E" w:rsidP="000F5C94">
            <w:pPr>
              <w:spacing w:before="100" w:beforeAutospacing="1" w:after="100" w:afterAutospacing="1" w:line="276" w:lineRule="auto"/>
              <w:rPr>
                <w:rFonts w:cstheme="minorHAnsi"/>
              </w:rPr>
            </w:pPr>
            <w:r>
              <w:rPr>
                <w:rFonts w:ascii="Arial Narrow" w:hAnsi="Arial Narrow"/>
                <w:b/>
                <w:sz w:val="32"/>
                <w:szCs w:val="32"/>
              </w:rPr>
              <w:t xml:space="preserve">α </w:t>
            </w:r>
            <w:r>
              <w:rPr>
                <w:rFonts w:cstheme="minorHAnsi"/>
              </w:rPr>
              <w:t>– Noontime Albedo</w:t>
            </w:r>
          </w:p>
        </w:tc>
      </w:tr>
      <w:tr w:rsidR="0080042E" w:rsidRPr="00D64245" w14:paraId="35E38750" w14:textId="77777777" w:rsidTr="00A72E5C">
        <w:trPr>
          <w:trHeight w:val="413"/>
        </w:trPr>
        <w:tc>
          <w:tcPr>
            <w:tcW w:w="10790" w:type="dxa"/>
            <w:shd w:val="clear" w:color="auto" w:fill="auto"/>
          </w:tcPr>
          <w:p w14:paraId="24BE5C31" w14:textId="139EA5BC" w:rsidR="0080042E" w:rsidRPr="0080042E" w:rsidRDefault="0080042E" w:rsidP="000F5C94">
            <w:pPr>
              <w:spacing w:before="100" w:beforeAutospacing="1" w:after="100" w:afterAutospacing="1" w:line="276" w:lineRule="auto"/>
              <w:rPr>
                <w:rFonts w:cstheme="minorHAnsi"/>
              </w:rPr>
            </w:pPr>
            <w:r>
              <w:rPr>
                <w:rFonts w:ascii="Arial Narrow" w:hAnsi="Arial Narrow"/>
                <w:b/>
                <w:sz w:val="32"/>
                <w:szCs w:val="32"/>
              </w:rPr>
              <w:t>θ</w:t>
            </w:r>
            <w:r w:rsidRPr="0080042E">
              <w:rPr>
                <w:rFonts w:ascii="Arial Narrow" w:hAnsi="Arial Narrow"/>
                <w:b/>
                <w:sz w:val="32"/>
                <w:szCs w:val="32"/>
                <w:vertAlign w:val="subscript"/>
              </w:rPr>
              <w:t>*</w:t>
            </w:r>
            <w:r>
              <w:rPr>
                <w:rFonts w:cstheme="minorHAnsi"/>
              </w:rPr>
              <w:t xml:space="preserve"> – Temperature Scale</w:t>
            </w:r>
          </w:p>
        </w:tc>
      </w:tr>
      <w:tr w:rsidR="0080042E" w:rsidRPr="00D64245" w14:paraId="62DD297F" w14:textId="77777777" w:rsidTr="00A72E5C">
        <w:trPr>
          <w:trHeight w:val="413"/>
        </w:trPr>
        <w:tc>
          <w:tcPr>
            <w:tcW w:w="10790" w:type="dxa"/>
            <w:shd w:val="clear" w:color="auto" w:fill="auto"/>
          </w:tcPr>
          <w:p w14:paraId="7E1E1373" w14:textId="17AB835A" w:rsidR="0080042E" w:rsidRDefault="0080042E" w:rsidP="000F5C94">
            <w:pPr>
              <w:spacing w:before="100" w:beforeAutospacing="1" w:after="100" w:afterAutospacing="1" w:line="276" w:lineRule="auto"/>
              <w:rPr>
                <w:rFonts w:ascii="Arial Narrow" w:hAnsi="Arial Narrow"/>
                <w:b/>
                <w:sz w:val="32"/>
                <w:szCs w:val="32"/>
              </w:rPr>
            </w:pPr>
            <w:r>
              <w:rPr>
                <w:rFonts w:ascii="Arial Narrow" w:hAnsi="Arial Narrow"/>
                <w:b/>
                <w:sz w:val="32"/>
                <w:szCs w:val="32"/>
              </w:rPr>
              <w:t>θ</w:t>
            </w:r>
            <w:r w:rsidRPr="0080042E">
              <w:rPr>
                <w:rFonts w:ascii="Arial Narrow" w:hAnsi="Arial Narrow"/>
                <w:b/>
                <w:sz w:val="32"/>
                <w:szCs w:val="32"/>
                <w:vertAlign w:val="subscript"/>
              </w:rPr>
              <w:t>v</w:t>
            </w:r>
            <w:r>
              <w:rPr>
                <w:rFonts w:ascii="Arial Narrow" w:hAnsi="Arial Narrow"/>
                <w:b/>
                <w:sz w:val="32"/>
                <w:szCs w:val="32"/>
                <w:vertAlign w:val="subscript"/>
              </w:rPr>
              <w:t xml:space="preserve"> </w:t>
            </w:r>
            <w:r>
              <w:rPr>
                <w:rFonts w:cstheme="minorHAnsi"/>
              </w:rPr>
              <w:t>– Temperature Scale</w:t>
            </w:r>
          </w:p>
        </w:tc>
      </w:tr>
    </w:tbl>
    <w:p w14:paraId="44FF811E" w14:textId="77777777" w:rsidR="00425659" w:rsidRPr="00294049" w:rsidRDefault="00425659" w:rsidP="000F5C94">
      <w:pPr>
        <w:spacing w:line="276" w:lineRule="auto"/>
        <w:rPr>
          <w:rFonts w:ascii="Arial Narrow" w:eastAsia="+mn-ea" w:hAnsi="Arial Narrow" w:cstheme="minorHAnsi"/>
          <w:b/>
          <w:bCs/>
          <w:noProof/>
          <w:color w:val="000000"/>
          <w:kern w:val="24"/>
          <w:sz w:val="24"/>
          <w:szCs w:val="24"/>
        </w:rPr>
      </w:pPr>
    </w:p>
    <w:sectPr w:rsidR="00425659" w:rsidRPr="00294049" w:rsidSect="00884D10">
      <w:headerReference w:type="default" r:id="rId11"/>
      <w:footerReference w:type="default" r:id="rId12"/>
      <w:pgSz w:w="12240" w:h="15840"/>
      <w:pgMar w:top="720" w:right="720" w:bottom="720" w:left="720" w:header="720" w:footer="35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E28610" w14:textId="77777777" w:rsidR="00772F14" w:rsidRDefault="00772F14" w:rsidP="00932BFE">
      <w:pPr>
        <w:spacing w:after="0" w:line="240" w:lineRule="auto"/>
      </w:pPr>
      <w:r>
        <w:separator/>
      </w:r>
    </w:p>
  </w:endnote>
  <w:endnote w:type="continuationSeparator" w:id="0">
    <w:p w14:paraId="4CD01178" w14:textId="77777777" w:rsidR="00772F14" w:rsidRDefault="00772F14" w:rsidP="00932B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ticulate Narrow">
    <w:altName w:val="Franklin Gothic Medium Cond"/>
    <w:charset w:val="00"/>
    <w:family w:val="auto"/>
    <w:pitch w:val="variable"/>
    <w:sig w:usb0="00000003" w:usb1="00000000" w:usb2="00000000" w:usb3="00000000" w:csb0="00000001" w:csb1="00000000"/>
  </w:font>
  <w:font w:name="+mn-ea">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42843612"/>
      <w:docPartObj>
        <w:docPartGallery w:val="Page Numbers (Bottom of Page)"/>
        <w:docPartUnique/>
      </w:docPartObj>
    </w:sdtPr>
    <w:sdtEndPr>
      <w:rPr>
        <w:spacing w:val="60"/>
      </w:rPr>
    </w:sdtEndPr>
    <w:sdtContent>
      <w:p w14:paraId="1FF1C886" w14:textId="2A7CF3D5" w:rsidR="0080042E" w:rsidRDefault="0080042E" w:rsidP="00E33CE6">
        <w:pPr>
          <w:pStyle w:val="Footer"/>
          <w:pBdr>
            <w:top w:val="single" w:sz="4" w:space="1" w:color="A6A6A6" w:themeColor="background1" w:themeShade="A6"/>
          </w:pBdr>
          <w:tabs>
            <w:tab w:val="clear" w:pos="9360"/>
            <w:tab w:val="right" w:pos="10620"/>
          </w:tabs>
          <w:rPr>
            <w:color w:val="7F7F7F" w:themeColor="background1" w:themeShade="7F"/>
            <w:spacing w:val="60"/>
          </w:rPr>
        </w:pPr>
        <w:r>
          <w:rPr>
            <w:noProof/>
          </w:rPr>
          <w:t>MN</w:t>
        </w:r>
        <w:r>
          <w:tab/>
        </w:r>
        <w:r>
          <w:tab/>
        </w:r>
        <w:r w:rsidRPr="00E33CE6">
          <w:fldChar w:fldCharType="begin"/>
        </w:r>
        <w:r w:rsidRPr="00E33CE6">
          <w:instrText xml:space="preserve"> PAGE   \* MERGEFORMAT </w:instrText>
        </w:r>
        <w:r w:rsidRPr="00E33CE6">
          <w:fldChar w:fldCharType="separate"/>
        </w:r>
        <w:r w:rsidR="005F7FDB">
          <w:rPr>
            <w:noProof/>
          </w:rPr>
          <w:t>8</w:t>
        </w:r>
        <w:r w:rsidRPr="00E33CE6">
          <w:rPr>
            <w:noProof/>
          </w:rPr>
          <w:fldChar w:fldCharType="end"/>
        </w:r>
        <w:r w:rsidRPr="00E33CE6">
          <w:t xml:space="preserve"> | </w:t>
        </w:r>
        <w:r w:rsidRPr="00E33CE6">
          <w:rPr>
            <w:spacing w:val="60"/>
          </w:rPr>
          <w:t>Page</w:t>
        </w:r>
      </w:p>
    </w:sdtContent>
  </w:sdt>
  <w:p w14:paraId="4A87E0DE" w14:textId="77777777" w:rsidR="0080042E" w:rsidRDefault="008004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3136FA" w14:textId="77777777" w:rsidR="00772F14" w:rsidRDefault="00772F14" w:rsidP="00932BFE">
      <w:pPr>
        <w:spacing w:after="0" w:line="240" w:lineRule="auto"/>
      </w:pPr>
      <w:r>
        <w:separator/>
      </w:r>
    </w:p>
  </w:footnote>
  <w:footnote w:type="continuationSeparator" w:id="0">
    <w:p w14:paraId="671620D0" w14:textId="77777777" w:rsidR="00772F14" w:rsidRDefault="00772F14" w:rsidP="00932B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71CC45" w14:textId="361835DD" w:rsidR="0080042E" w:rsidRDefault="00202330" w:rsidP="00932BFE">
    <w:pPr>
      <w:pStyle w:val="Header"/>
      <w:pBdr>
        <w:bottom w:val="single" w:sz="4" w:space="1" w:color="A6A6A6" w:themeColor="background1" w:themeShade="A6"/>
      </w:pBdr>
    </w:pPr>
    <w:r>
      <w:t xml:space="preserve">APTI </w:t>
    </w:r>
    <w:r w:rsidR="0080042E">
      <w:t>4</w:t>
    </w:r>
    <w:r>
      <w:t>23</w:t>
    </w:r>
    <w:r w:rsidR="0080042E">
      <w:t xml:space="preserve"> </w:t>
    </w:r>
    <w:r>
      <w:t>–</w:t>
    </w:r>
    <w:r w:rsidR="0080042E">
      <w:t xml:space="preserve"> </w:t>
    </w:r>
    <w:r>
      <w:t xml:space="preserve">Master Glossary &amp; </w:t>
    </w:r>
    <w:r w:rsidR="0080042E">
      <w:t>Commonly Used Acronyms</w:t>
    </w:r>
  </w:p>
  <w:p w14:paraId="43E546CB" w14:textId="77777777" w:rsidR="0080042E" w:rsidRDefault="008004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B17C841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21B43A74"/>
    <w:multiLevelType w:val="multilevel"/>
    <w:tmpl w:val="6332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2F743F"/>
    <w:multiLevelType w:val="hybridMultilevel"/>
    <w:tmpl w:val="B3AC581E"/>
    <w:lvl w:ilvl="0" w:tplc="D7FECAF4">
      <w:start w:val="1"/>
      <w:numFmt w:val="bullet"/>
      <w:lvlText w:val="•"/>
      <w:lvlJc w:val="left"/>
      <w:pPr>
        <w:tabs>
          <w:tab w:val="num" w:pos="720"/>
        </w:tabs>
        <w:ind w:left="720" w:hanging="360"/>
      </w:pPr>
      <w:rPr>
        <w:rFonts w:ascii="Arial" w:hAnsi="Arial" w:hint="default"/>
      </w:rPr>
    </w:lvl>
    <w:lvl w:ilvl="1" w:tplc="ABF69702">
      <w:start w:val="1"/>
      <w:numFmt w:val="bullet"/>
      <w:lvlText w:val="•"/>
      <w:lvlJc w:val="left"/>
      <w:pPr>
        <w:tabs>
          <w:tab w:val="num" w:pos="1440"/>
        </w:tabs>
        <w:ind w:left="1440" w:hanging="360"/>
      </w:pPr>
      <w:rPr>
        <w:rFonts w:ascii="Arial" w:hAnsi="Arial" w:hint="default"/>
      </w:rPr>
    </w:lvl>
    <w:lvl w:ilvl="2" w:tplc="99F4BF96" w:tentative="1">
      <w:start w:val="1"/>
      <w:numFmt w:val="bullet"/>
      <w:lvlText w:val="•"/>
      <w:lvlJc w:val="left"/>
      <w:pPr>
        <w:tabs>
          <w:tab w:val="num" w:pos="2160"/>
        </w:tabs>
        <w:ind w:left="2160" w:hanging="360"/>
      </w:pPr>
      <w:rPr>
        <w:rFonts w:ascii="Arial" w:hAnsi="Arial" w:hint="default"/>
      </w:rPr>
    </w:lvl>
    <w:lvl w:ilvl="3" w:tplc="68808192" w:tentative="1">
      <w:start w:val="1"/>
      <w:numFmt w:val="bullet"/>
      <w:lvlText w:val="•"/>
      <w:lvlJc w:val="left"/>
      <w:pPr>
        <w:tabs>
          <w:tab w:val="num" w:pos="2880"/>
        </w:tabs>
        <w:ind w:left="2880" w:hanging="360"/>
      </w:pPr>
      <w:rPr>
        <w:rFonts w:ascii="Arial" w:hAnsi="Arial" w:hint="default"/>
      </w:rPr>
    </w:lvl>
    <w:lvl w:ilvl="4" w:tplc="5A8050EA" w:tentative="1">
      <w:start w:val="1"/>
      <w:numFmt w:val="bullet"/>
      <w:lvlText w:val="•"/>
      <w:lvlJc w:val="left"/>
      <w:pPr>
        <w:tabs>
          <w:tab w:val="num" w:pos="3600"/>
        </w:tabs>
        <w:ind w:left="3600" w:hanging="360"/>
      </w:pPr>
      <w:rPr>
        <w:rFonts w:ascii="Arial" w:hAnsi="Arial" w:hint="default"/>
      </w:rPr>
    </w:lvl>
    <w:lvl w:ilvl="5" w:tplc="95464866" w:tentative="1">
      <w:start w:val="1"/>
      <w:numFmt w:val="bullet"/>
      <w:lvlText w:val="•"/>
      <w:lvlJc w:val="left"/>
      <w:pPr>
        <w:tabs>
          <w:tab w:val="num" w:pos="4320"/>
        </w:tabs>
        <w:ind w:left="4320" w:hanging="360"/>
      </w:pPr>
      <w:rPr>
        <w:rFonts w:ascii="Arial" w:hAnsi="Arial" w:hint="default"/>
      </w:rPr>
    </w:lvl>
    <w:lvl w:ilvl="6" w:tplc="CE66BE22" w:tentative="1">
      <w:start w:val="1"/>
      <w:numFmt w:val="bullet"/>
      <w:lvlText w:val="•"/>
      <w:lvlJc w:val="left"/>
      <w:pPr>
        <w:tabs>
          <w:tab w:val="num" w:pos="5040"/>
        </w:tabs>
        <w:ind w:left="5040" w:hanging="360"/>
      </w:pPr>
      <w:rPr>
        <w:rFonts w:ascii="Arial" w:hAnsi="Arial" w:hint="default"/>
      </w:rPr>
    </w:lvl>
    <w:lvl w:ilvl="7" w:tplc="CD6AF6B0" w:tentative="1">
      <w:start w:val="1"/>
      <w:numFmt w:val="bullet"/>
      <w:lvlText w:val="•"/>
      <w:lvlJc w:val="left"/>
      <w:pPr>
        <w:tabs>
          <w:tab w:val="num" w:pos="5760"/>
        </w:tabs>
        <w:ind w:left="5760" w:hanging="360"/>
      </w:pPr>
      <w:rPr>
        <w:rFonts w:ascii="Arial" w:hAnsi="Arial" w:hint="default"/>
      </w:rPr>
    </w:lvl>
    <w:lvl w:ilvl="8" w:tplc="6762746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5CE32A6D"/>
    <w:multiLevelType w:val="hybridMultilevel"/>
    <w:tmpl w:val="BE44BE28"/>
    <w:lvl w:ilvl="0" w:tplc="891ECB2A">
      <w:start w:val="1"/>
      <w:numFmt w:val="bullet"/>
      <w:lvlText w:val="•"/>
      <w:lvlJc w:val="left"/>
      <w:pPr>
        <w:tabs>
          <w:tab w:val="num" w:pos="720"/>
        </w:tabs>
        <w:ind w:left="720" w:hanging="360"/>
      </w:pPr>
      <w:rPr>
        <w:rFonts w:ascii="Arial" w:hAnsi="Arial" w:hint="default"/>
      </w:rPr>
    </w:lvl>
    <w:lvl w:ilvl="1" w:tplc="91E8009C" w:tentative="1">
      <w:start w:val="1"/>
      <w:numFmt w:val="bullet"/>
      <w:lvlText w:val="•"/>
      <w:lvlJc w:val="left"/>
      <w:pPr>
        <w:tabs>
          <w:tab w:val="num" w:pos="1440"/>
        </w:tabs>
        <w:ind w:left="1440" w:hanging="360"/>
      </w:pPr>
      <w:rPr>
        <w:rFonts w:ascii="Arial" w:hAnsi="Arial" w:hint="default"/>
      </w:rPr>
    </w:lvl>
    <w:lvl w:ilvl="2" w:tplc="99F4CAE0" w:tentative="1">
      <w:start w:val="1"/>
      <w:numFmt w:val="bullet"/>
      <w:lvlText w:val="•"/>
      <w:lvlJc w:val="left"/>
      <w:pPr>
        <w:tabs>
          <w:tab w:val="num" w:pos="2160"/>
        </w:tabs>
        <w:ind w:left="2160" w:hanging="360"/>
      </w:pPr>
      <w:rPr>
        <w:rFonts w:ascii="Arial" w:hAnsi="Arial" w:hint="default"/>
      </w:rPr>
    </w:lvl>
    <w:lvl w:ilvl="3" w:tplc="B0509E18" w:tentative="1">
      <w:start w:val="1"/>
      <w:numFmt w:val="bullet"/>
      <w:lvlText w:val="•"/>
      <w:lvlJc w:val="left"/>
      <w:pPr>
        <w:tabs>
          <w:tab w:val="num" w:pos="2880"/>
        </w:tabs>
        <w:ind w:left="2880" w:hanging="360"/>
      </w:pPr>
      <w:rPr>
        <w:rFonts w:ascii="Arial" w:hAnsi="Arial" w:hint="default"/>
      </w:rPr>
    </w:lvl>
    <w:lvl w:ilvl="4" w:tplc="6FD6D44A" w:tentative="1">
      <w:start w:val="1"/>
      <w:numFmt w:val="bullet"/>
      <w:lvlText w:val="•"/>
      <w:lvlJc w:val="left"/>
      <w:pPr>
        <w:tabs>
          <w:tab w:val="num" w:pos="3600"/>
        </w:tabs>
        <w:ind w:left="3600" w:hanging="360"/>
      </w:pPr>
      <w:rPr>
        <w:rFonts w:ascii="Arial" w:hAnsi="Arial" w:hint="default"/>
      </w:rPr>
    </w:lvl>
    <w:lvl w:ilvl="5" w:tplc="D94CBF7A" w:tentative="1">
      <w:start w:val="1"/>
      <w:numFmt w:val="bullet"/>
      <w:lvlText w:val="•"/>
      <w:lvlJc w:val="left"/>
      <w:pPr>
        <w:tabs>
          <w:tab w:val="num" w:pos="4320"/>
        </w:tabs>
        <w:ind w:left="4320" w:hanging="360"/>
      </w:pPr>
      <w:rPr>
        <w:rFonts w:ascii="Arial" w:hAnsi="Arial" w:hint="default"/>
      </w:rPr>
    </w:lvl>
    <w:lvl w:ilvl="6" w:tplc="2E7E1DA4" w:tentative="1">
      <w:start w:val="1"/>
      <w:numFmt w:val="bullet"/>
      <w:lvlText w:val="•"/>
      <w:lvlJc w:val="left"/>
      <w:pPr>
        <w:tabs>
          <w:tab w:val="num" w:pos="5040"/>
        </w:tabs>
        <w:ind w:left="5040" w:hanging="360"/>
      </w:pPr>
      <w:rPr>
        <w:rFonts w:ascii="Arial" w:hAnsi="Arial" w:hint="default"/>
      </w:rPr>
    </w:lvl>
    <w:lvl w:ilvl="7" w:tplc="95C66802" w:tentative="1">
      <w:start w:val="1"/>
      <w:numFmt w:val="bullet"/>
      <w:lvlText w:val="•"/>
      <w:lvlJc w:val="left"/>
      <w:pPr>
        <w:tabs>
          <w:tab w:val="num" w:pos="5760"/>
        </w:tabs>
        <w:ind w:left="5760" w:hanging="360"/>
      </w:pPr>
      <w:rPr>
        <w:rFonts w:ascii="Arial" w:hAnsi="Arial" w:hint="default"/>
      </w:rPr>
    </w:lvl>
    <w:lvl w:ilvl="8" w:tplc="AA38C432" w:tentative="1">
      <w:start w:val="1"/>
      <w:numFmt w:val="bullet"/>
      <w:lvlText w:val="•"/>
      <w:lvlJc w:val="left"/>
      <w:pPr>
        <w:tabs>
          <w:tab w:val="num" w:pos="6480"/>
        </w:tabs>
        <w:ind w:left="6480" w:hanging="360"/>
      </w:pPr>
      <w:rPr>
        <w:rFonts w:ascii="Arial" w:hAnsi="Arial" w:hint="default"/>
      </w:rPr>
    </w:lvl>
  </w:abstractNum>
  <w:num w:numId="1" w16cid:durableId="1369528615">
    <w:abstractNumId w:val="3"/>
  </w:num>
  <w:num w:numId="2" w16cid:durableId="1710062591">
    <w:abstractNumId w:val="2"/>
  </w:num>
  <w:num w:numId="3" w16cid:durableId="323318300">
    <w:abstractNumId w:val="1"/>
  </w:num>
  <w:num w:numId="4" w16cid:durableId="17723168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09E"/>
    <w:rsid w:val="00005712"/>
    <w:rsid w:val="00023EB5"/>
    <w:rsid w:val="00040060"/>
    <w:rsid w:val="0004409A"/>
    <w:rsid w:val="00055104"/>
    <w:rsid w:val="00056F0B"/>
    <w:rsid w:val="00060AA5"/>
    <w:rsid w:val="00074842"/>
    <w:rsid w:val="00074A49"/>
    <w:rsid w:val="00077C8B"/>
    <w:rsid w:val="00085AB2"/>
    <w:rsid w:val="000A3C86"/>
    <w:rsid w:val="000B0370"/>
    <w:rsid w:val="000C35E2"/>
    <w:rsid w:val="000D3B81"/>
    <w:rsid w:val="000E3C8D"/>
    <w:rsid w:val="000F253F"/>
    <w:rsid w:val="000F5C94"/>
    <w:rsid w:val="001013A8"/>
    <w:rsid w:val="00117463"/>
    <w:rsid w:val="001232D9"/>
    <w:rsid w:val="00130166"/>
    <w:rsid w:val="0014786F"/>
    <w:rsid w:val="0016286A"/>
    <w:rsid w:val="0017267C"/>
    <w:rsid w:val="00187553"/>
    <w:rsid w:val="001941FD"/>
    <w:rsid w:val="00194560"/>
    <w:rsid w:val="001B7673"/>
    <w:rsid w:val="001D20FA"/>
    <w:rsid w:val="001D340B"/>
    <w:rsid w:val="001D3D21"/>
    <w:rsid w:val="001D70D3"/>
    <w:rsid w:val="001E241E"/>
    <w:rsid w:val="001E6B88"/>
    <w:rsid w:val="001F17B6"/>
    <w:rsid w:val="001F6A8A"/>
    <w:rsid w:val="002011C7"/>
    <w:rsid w:val="00202330"/>
    <w:rsid w:val="00210E5A"/>
    <w:rsid w:val="00221B8F"/>
    <w:rsid w:val="00230A0B"/>
    <w:rsid w:val="00233ADC"/>
    <w:rsid w:val="00273778"/>
    <w:rsid w:val="0029144F"/>
    <w:rsid w:val="00291CD0"/>
    <w:rsid w:val="00293995"/>
    <w:rsid w:val="00294049"/>
    <w:rsid w:val="002979DD"/>
    <w:rsid w:val="002A1CB6"/>
    <w:rsid w:val="002A32EE"/>
    <w:rsid w:val="002B2C12"/>
    <w:rsid w:val="002B2F85"/>
    <w:rsid w:val="002B5DF7"/>
    <w:rsid w:val="002C4177"/>
    <w:rsid w:val="002D2817"/>
    <w:rsid w:val="002E4072"/>
    <w:rsid w:val="002F4268"/>
    <w:rsid w:val="002F465D"/>
    <w:rsid w:val="002F609E"/>
    <w:rsid w:val="00305C56"/>
    <w:rsid w:val="00312B1A"/>
    <w:rsid w:val="003214F1"/>
    <w:rsid w:val="00333F38"/>
    <w:rsid w:val="00336621"/>
    <w:rsid w:val="0035085A"/>
    <w:rsid w:val="00364993"/>
    <w:rsid w:val="00366334"/>
    <w:rsid w:val="003B3E84"/>
    <w:rsid w:val="003C0902"/>
    <w:rsid w:val="003E24DC"/>
    <w:rsid w:val="003F078B"/>
    <w:rsid w:val="00400DF5"/>
    <w:rsid w:val="00410E1E"/>
    <w:rsid w:val="004238AA"/>
    <w:rsid w:val="00425659"/>
    <w:rsid w:val="00431DC3"/>
    <w:rsid w:val="00432132"/>
    <w:rsid w:val="00452A7E"/>
    <w:rsid w:val="004613D9"/>
    <w:rsid w:val="0047574F"/>
    <w:rsid w:val="00486585"/>
    <w:rsid w:val="00486E84"/>
    <w:rsid w:val="00492173"/>
    <w:rsid w:val="00494F51"/>
    <w:rsid w:val="004A518D"/>
    <w:rsid w:val="004A764F"/>
    <w:rsid w:val="004C24A0"/>
    <w:rsid w:val="004C25D5"/>
    <w:rsid w:val="004D0A38"/>
    <w:rsid w:val="004D5F16"/>
    <w:rsid w:val="004E3244"/>
    <w:rsid w:val="004E6E24"/>
    <w:rsid w:val="0050292F"/>
    <w:rsid w:val="00521A03"/>
    <w:rsid w:val="005307D1"/>
    <w:rsid w:val="00534B4F"/>
    <w:rsid w:val="00542A03"/>
    <w:rsid w:val="00550A62"/>
    <w:rsid w:val="00555224"/>
    <w:rsid w:val="0056111C"/>
    <w:rsid w:val="00561251"/>
    <w:rsid w:val="0056249F"/>
    <w:rsid w:val="00565E42"/>
    <w:rsid w:val="0056622F"/>
    <w:rsid w:val="0057361F"/>
    <w:rsid w:val="00576581"/>
    <w:rsid w:val="00580E84"/>
    <w:rsid w:val="00581D59"/>
    <w:rsid w:val="005B130B"/>
    <w:rsid w:val="005B1C7A"/>
    <w:rsid w:val="005B5611"/>
    <w:rsid w:val="005B614B"/>
    <w:rsid w:val="005C7F6B"/>
    <w:rsid w:val="005D2D35"/>
    <w:rsid w:val="005E1FE5"/>
    <w:rsid w:val="005E37D4"/>
    <w:rsid w:val="005E5E6C"/>
    <w:rsid w:val="005F025A"/>
    <w:rsid w:val="005F7FDB"/>
    <w:rsid w:val="0061386F"/>
    <w:rsid w:val="00620EFD"/>
    <w:rsid w:val="00621D6C"/>
    <w:rsid w:val="00624BBD"/>
    <w:rsid w:val="006259B0"/>
    <w:rsid w:val="00635F70"/>
    <w:rsid w:val="0066157B"/>
    <w:rsid w:val="00662516"/>
    <w:rsid w:val="00666581"/>
    <w:rsid w:val="006740EF"/>
    <w:rsid w:val="006810BB"/>
    <w:rsid w:val="00697C4A"/>
    <w:rsid w:val="006B2548"/>
    <w:rsid w:val="006B3E90"/>
    <w:rsid w:val="006C4116"/>
    <w:rsid w:val="006C5F49"/>
    <w:rsid w:val="006D0E14"/>
    <w:rsid w:val="006F4A4C"/>
    <w:rsid w:val="007233F9"/>
    <w:rsid w:val="00735457"/>
    <w:rsid w:val="00767166"/>
    <w:rsid w:val="00772F14"/>
    <w:rsid w:val="007976A2"/>
    <w:rsid w:val="007A0950"/>
    <w:rsid w:val="007A2875"/>
    <w:rsid w:val="007B50B7"/>
    <w:rsid w:val="007C57C6"/>
    <w:rsid w:val="007D4BF3"/>
    <w:rsid w:val="007D4E94"/>
    <w:rsid w:val="007D580E"/>
    <w:rsid w:val="007D5E36"/>
    <w:rsid w:val="007D76BA"/>
    <w:rsid w:val="007F38E6"/>
    <w:rsid w:val="007F5DAE"/>
    <w:rsid w:val="0080042E"/>
    <w:rsid w:val="00802722"/>
    <w:rsid w:val="00822A16"/>
    <w:rsid w:val="00825BE4"/>
    <w:rsid w:val="00826EDA"/>
    <w:rsid w:val="00830BEE"/>
    <w:rsid w:val="008400E1"/>
    <w:rsid w:val="00844E3E"/>
    <w:rsid w:val="00847689"/>
    <w:rsid w:val="0085648C"/>
    <w:rsid w:val="008570C7"/>
    <w:rsid w:val="008655AD"/>
    <w:rsid w:val="00871742"/>
    <w:rsid w:val="00875E6F"/>
    <w:rsid w:val="00884D10"/>
    <w:rsid w:val="008976AC"/>
    <w:rsid w:val="00897887"/>
    <w:rsid w:val="008A21F9"/>
    <w:rsid w:val="008A71F3"/>
    <w:rsid w:val="008B3C1D"/>
    <w:rsid w:val="008B6080"/>
    <w:rsid w:val="008E0114"/>
    <w:rsid w:val="00921C62"/>
    <w:rsid w:val="00932BFE"/>
    <w:rsid w:val="00944E4E"/>
    <w:rsid w:val="00955819"/>
    <w:rsid w:val="00963311"/>
    <w:rsid w:val="00974D58"/>
    <w:rsid w:val="00995E46"/>
    <w:rsid w:val="009D1E08"/>
    <w:rsid w:val="009F3BAA"/>
    <w:rsid w:val="009F76DB"/>
    <w:rsid w:val="00A054C8"/>
    <w:rsid w:val="00A2506F"/>
    <w:rsid w:val="00A37D6F"/>
    <w:rsid w:val="00A53B6C"/>
    <w:rsid w:val="00A72E5C"/>
    <w:rsid w:val="00A869F3"/>
    <w:rsid w:val="00AA072F"/>
    <w:rsid w:val="00AB7E41"/>
    <w:rsid w:val="00AC23B1"/>
    <w:rsid w:val="00AE6DC6"/>
    <w:rsid w:val="00AE7732"/>
    <w:rsid w:val="00B00092"/>
    <w:rsid w:val="00B00B88"/>
    <w:rsid w:val="00B03483"/>
    <w:rsid w:val="00B073B8"/>
    <w:rsid w:val="00B16176"/>
    <w:rsid w:val="00B20B90"/>
    <w:rsid w:val="00B267B5"/>
    <w:rsid w:val="00B3741C"/>
    <w:rsid w:val="00B45798"/>
    <w:rsid w:val="00B60921"/>
    <w:rsid w:val="00B64448"/>
    <w:rsid w:val="00B764E6"/>
    <w:rsid w:val="00B8785E"/>
    <w:rsid w:val="00BB05C9"/>
    <w:rsid w:val="00BB2CFB"/>
    <w:rsid w:val="00BC78EF"/>
    <w:rsid w:val="00BE6A76"/>
    <w:rsid w:val="00C13AB5"/>
    <w:rsid w:val="00C15C2D"/>
    <w:rsid w:val="00C23DD4"/>
    <w:rsid w:val="00C4229C"/>
    <w:rsid w:val="00C437F0"/>
    <w:rsid w:val="00C44AF9"/>
    <w:rsid w:val="00C51579"/>
    <w:rsid w:val="00C67060"/>
    <w:rsid w:val="00C752F9"/>
    <w:rsid w:val="00CB197D"/>
    <w:rsid w:val="00CB6EFA"/>
    <w:rsid w:val="00CC724D"/>
    <w:rsid w:val="00CD5D93"/>
    <w:rsid w:val="00D055CB"/>
    <w:rsid w:val="00D065C8"/>
    <w:rsid w:val="00D257E1"/>
    <w:rsid w:val="00D30DD1"/>
    <w:rsid w:val="00D40406"/>
    <w:rsid w:val="00D46FE5"/>
    <w:rsid w:val="00D5789C"/>
    <w:rsid w:val="00D62A50"/>
    <w:rsid w:val="00D62E30"/>
    <w:rsid w:val="00D64245"/>
    <w:rsid w:val="00D95177"/>
    <w:rsid w:val="00DA4890"/>
    <w:rsid w:val="00DB5F73"/>
    <w:rsid w:val="00DD39C7"/>
    <w:rsid w:val="00DD654E"/>
    <w:rsid w:val="00DF0B51"/>
    <w:rsid w:val="00DF461C"/>
    <w:rsid w:val="00E24603"/>
    <w:rsid w:val="00E33CE6"/>
    <w:rsid w:val="00E41B9B"/>
    <w:rsid w:val="00E45C57"/>
    <w:rsid w:val="00E509F4"/>
    <w:rsid w:val="00E6448A"/>
    <w:rsid w:val="00E66636"/>
    <w:rsid w:val="00E74D48"/>
    <w:rsid w:val="00EC7837"/>
    <w:rsid w:val="00ED493B"/>
    <w:rsid w:val="00EE1DE0"/>
    <w:rsid w:val="00EE3FC3"/>
    <w:rsid w:val="00EF3F2C"/>
    <w:rsid w:val="00F04801"/>
    <w:rsid w:val="00F26B7B"/>
    <w:rsid w:val="00F278D1"/>
    <w:rsid w:val="00F40F6E"/>
    <w:rsid w:val="00F41D21"/>
    <w:rsid w:val="00F4255D"/>
    <w:rsid w:val="00F52BAE"/>
    <w:rsid w:val="00F66582"/>
    <w:rsid w:val="00F67A67"/>
    <w:rsid w:val="00F80FCA"/>
    <w:rsid w:val="00FA6E8C"/>
    <w:rsid w:val="00FB39BC"/>
    <w:rsid w:val="00FC51C4"/>
    <w:rsid w:val="00FD64CE"/>
    <w:rsid w:val="00FF0965"/>
    <w:rsid w:val="00FF49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C85B21"/>
  <w15:chartTrackingRefBased/>
  <w15:docId w15:val="{8C705223-51E2-4939-A6FD-22D2B3CE3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F60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1D3D2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259B0"/>
    <w:rPr>
      <w:color w:val="0000FF"/>
      <w:u w:val="single"/>
    </w:rPr>
  </w:style>
  <w:style w:type="character" w:styleId="Strong">
    <w:name w:val="Strong"/>
    <w:basedOn w:val="DefaultParagraphFont"/>
    <w:uiPriority w:val="22"/>
    <w:qFormat/>
    <w:rsid w:val="00B073B8"/>
    <w:rPr>
      <w:b/>
      <w:bCs/>
    </w:rPr>
  </w:style>
  <w:style w:type="paragraph" w:customStyle="1" w:styleId="Default">
    <w:name w:val="Default"/>
    <w:rsid w:val="002B2C1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3">
    <w:name w:val="A3"/>
    <w:uiPriority w:val="99"/>
    <w:rsid w:val="00D065C8"/>
    <w:rPr>
      <w:color w:val="000000"/>
      <w:sz w:val="18"/>
      <w:szCs w:val="18"/>
    </w:rPr>
  </w:style>
  <w:style w:type="paragraph" w:styleId="NormalWeb">
    <w:name w:val="Normal (Web)"/>
    <w:basedOn w:val="Normal"/>
    <w:uiPriority w:val="99"/>
    <w:unhideWhenUsed/>
    <w:rsid w:val="00D065C8"/>
    <w:pPr>
      <w:spacing w:after="0"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620EFD"/>
    <w:rPr>
      <w:sz w:val="16"/>
      <w:szCs w:val="16"/>
    </w:rPr>
  </w:style>
  <w:style w:type="paragraph" w:styleId="CommentText">
    <w:name w:val="annotation text"/>
    <w:basedOn w:val="Normal"/>
    <w:link w:val="CommentTextChar"/>
    <w:uiPriority w:val="99"/>
    <w:semiHidden/>
    <w:unhideWhenUsed/>
    <w:rsid w:val="00620EFD"/>
    <w:pPr>
      <w:spacing w:line="240" w:lineRule="auto"/>
    </w:pPr>
    <w:rPr>
      <w:sz w:val="20"/>
      <w:szCs w:val="20"/>
    </w:rPr>
  </w:style>
  <w:style w:type="character" w:customStyle="1" w:styleId="CommentTextChar">
    <w:name w:val="Comment Text Char"/>
    <w:basedOn w:val="DefaultParagraphFont"/>
    <w:link w:val="CommentText"/>
    <w:uiPriority w:val="99"/>
    <w:semiHidden/>
    <w:rsid w:val="00620EFD"/>
    <w:rPr>
      <w:sz w:val="20"/>
      <w:szCs w:val="20"/>
    </w:rPr>
  </w:style>
  <w:style w:type="paragraph" w:styleId="CommentSubject">
    <w:name w:val="annotation subject"/>
    <w:basedOn w:val="CommentText"/>
    <w:next w:val="CommentText"/>
    <w:link w:val="CommentSubjectChar"/>
    <w:uiPriority w:val="99"/>
    <w:semiHidden/>
    <w:unhideWhenUsed/>
    <w:rsid w:val="00620EFD"/>
    <w:rPr>
      <w:b/>
      <w:bCs/>
    </w:rPr>
  </w:style>
  <w:style w:type="character" w:customStyle="1" w:styleId="CommentSubjectChar">
    <w:name w:val="Comment Subject Char"/>
    <w:basedOn w:val="CommentTextChar"/>
    <w:link w:val="CommentSubject"/>
    <w:uiPriority w:val="99"/>
    <w:semiHidden/>
    <w:rsid w:val="00620EFD"/>
    <w:rPr>
      <w:b/>
      <w:bCs/>
      <w:sz w:val="20"/>
      <w:szCs w:val="20"/>
    </w:rPr>
  </w:style>
  <w:style w:type="paragraph" w:styleId="BalloonText">
    <w:name w:val="Balloon Text"/>
    <w:basedOn w:val="Normal"/>
    <w:link w:val="BalloonTextChar"/>
    <w:uiPriority w:val="99"/>
    <w:semiHidden/>
    <w:unhideWhenUsed/>
    <w:rsid w:val="00620E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0EFD"/>
    <w:rPr>
      <w:rFonts w:ascii="Segoe UI" w:hAnsi="Segoe UI" w:cs="Segoe UI"/>
      <w:sz w:val="18"/>
      <w:szCs w:val="18"/>
    </w:rPr>
  </w:style>
  <w:style w:type="paragraph" w:styleId="Revision">
    <w:name w:val="Revision"/>
    <w:hidden/>
    <w:uiPriority w:val="99"/>
    <w:semiHidden/>
    <w:rsid w:val="00932BFE"/>
    <w:pPr>
      <w:spacing w:after="0" w:line="240" w:lineRule="auto"/>
    </w:pPr>
  </w:style>
  <w:style w:type="paragraph" w:styleId="Header">
    <w:name w:val="header"/>
    <w:basedOn w:val="Normal"/>
    <w:link w:val="HeaderChar"/>
    <w:uiPriority w:val="99"/>
    <w:unhideWhenUsed/>
    <w:rsid w:val="00932B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2BFE"/>
  </w:style>
  <w:style w:type="paragraph" w:styleId="Footer">
    <w:name w:val="footer"/>
    <w:basedOn w:val="Normal"/>
    <w:link w:val="FooterChar"/>
    <w:uiPriority w:val="99"/>
    <w:unhideWhenUsed/>
    <w:rsid w:val="00932B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2BFE"/>
  </w:style>
  <w:style w:type="table" w:styleId="GridTable2-Accent6">
    <w:name w:val="Grid Table 2 Accent 6"/>
    <w:basedOn w:val="TableNormal"/>
    <w:uiPriority w:val="47"/>
    <w:rsid w:val="00932BFE"/>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2-Accent5">
    <w:name w:val="Grid Table 2 Accent 5"/>
    <w:basedOn w:val="TableNormal"/>
    <w:uiPriority w:val="47"/>
    <w:rsid w:val="00932BFE"/>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1Light-Accent3">
    <w:name w:val="Grid Table 1 Light Accent 3"/>
    <w:basedOn w:val="TableNormal"/>
    <w:uiPriority w:val="46"/>
    <w:rsid w:val="00932BFE"/>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932BFE"/>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leGridLight">
    <w:name w:val="Grid Table Light"/>
    <w:basedOn w:val="TableNormal"/>
    <w:uiPriority w:val="40"/>
    <w:rsid w:val="00932BF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99"/>
    <w:unhideWhenUsed/>
    <w:rsid w:val="00830BEE"/>
    <w:pPr>
      <w:numPr>
        <w:numId w:val="4"/>
      </w:numPr>
      <w:contextualSpacing/>
    </w:pPr>
  </w:style>
  <w:style w:type="character" w:customStyle="1" w:styleId="im">
    <w:name w:val="im"/>
    <w:basedOn w:val="DefaultParagraphFont"/>
    <w:rsid w:val="00B000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631241">
      <w:bodyDiv w:val="1"/>
      <w:marLeft w:val="0"/>
      <w:marRight w:val="0"/>
      <w:marTop w:val="0"/>
      <w:marBottom w:val="0"/>
      <w:divBdr>
        <w:top w:val="none" w:sz="0" w:space="0" w:color="auto"/>
        <w:left w:val="none" w:sz="0" w:space="0" w:color="auto"/>
        <w:bottom w:val="none" w:sz="0" w:space="0" w:color="auto"/>
        <w:right w:val="none" w:sz="0" w:space="0" w:color="auto"/>
      </w:divBdr>
      <w:divsChild>
        <w:div w:id="1439564266">
          <w:marLeft w:val="1080"/>
          <w:marRight w:val="0"/>
          <w:marTop w:val="100"/>
          <w:marBottom w:val="0"/>
          <w:divBdr>
            <w:top w:val="none" w:sz="0" w:space="0" w:color="auto"/>
            <w:left w:val="none" w:sz="0" w:space="0" w:color="auto"/>
            <w:bottom w:val="none" w:sz="0" w:space="0" w:color="auto"/>
            <w:right w:val="none" w:sz="0" w:space="0" w:color="auto"/>
          </w:divBdr>
        </w:div>
        <w:div w:id="479153982">
          <w:marLeft w:val="1080"/>
          <w:marRight w:val="0"/>
          <w:marTop w:val="100"/>
          <w:marBottom w:val="0"/>
          <w:divBdr>
            <w:top w:val="none" w:sz="0" w:space="0" w:color="auto"/>
            <w:left w:val="none" w:sz="0" w:space="0" w:color="auto"/>
            <w:bottom w:val="none" w:sz="0" w:space="0" w:color="auto"/>
            <w:right w:val="none" w:sz="0" w:space="0" w:color="auto"/>
          </w:divBdr>
        </w:div>
      </w:divsChild>
    </w:div>
    <w:div w:id="765004388">
      <w:bodyDiv w:val="1"/>
      <w:marLeft w:val="0"/>
      <w:marRight w:val="0"/>
      <w:marTop w:val="0"/>
      <w:marBottom w:val="0"/>
      <w:divBdr>
        <w:top w:val="none" w:sz="0" w:space="0" w:color="auto"/>
        <w:left w:val="none" w:sz="0" w:space="0" w:color="auto"/>
        <w:bottom w:val="none" w:sz="0" w:space="0" w:color="auto"/>
        <w:right w:val="none" w:sz="0" w:space="0" w:color="auto"/>
      </w:divBdr>
    </w:div>
    <w:div w:id="813451334">
      <w:bodyDiv w:val="1"/>
      <w:marLeft w:val="0"/>
      <w:marRight w:val="0"/>
      <w:marTop w:val="0"/>
      <w:marBottom w:val="0"/>
      <w:divBdr>
        <w:top w:val="none" w:sz="0" w:space="0" w:color="auto"/>
        <w:left w:val="none" w:sz="0" w:space="0" w:color="auto"/>
        <w:bottom w:val="none" w:sz="0" w:space="0" w:color="auto"/>
        <w:right w:val="none" w:sz="0" w:space="0" w:color="auto"/>
      </w:divBdr>
    </w:div>
    <w:div w:id="946086442">
      <w:bodyDiv w:val="1"/>
      <w:marLeft w:val="0"/>
      <w:marRight w:val="0"/>
      <w:marTop w:val="0"/>
      <w:marBottom w:val="0"/>
      <w:divBdr>
        <w:top w:val="none" w:sz="0" w:space="0" w:color="auto"/>
        <w:left w:val="none" w:sz="0" w:space="0" w:color="auto"/>
        <w:bottom w:val="none" w:sz="0" w:space="0" w:color="auto"/>
        <w:right w:val="none" w:sz="0" w:space="0" w:color="auto"/>
      </w:divBdr>
      <w:divsChild>
        <w:div w:id="1407921333">
          <w:marLeft w:val="0"/>
          <w:marRight w:val="0"/>
          <w:marTop w:val="0"/>
          <w:marBottom w:val="0"/>
          <w:divBdr>
            <w:top w:val="none" w:sz="0" w:space="0" w:color="auto"/>
            <w:left w:val="none" w:sz="0" w:space="0" w:color="auto"/>
            <w:bottom w:val="none" w:sz="0" w:space="0" w:color="auto"/>
            <w:right w:val="none" w:sz="0" w:space="0" w:color="auto"/>
          </w:divBdr>
          <w:divsChild>
            <w:div w:id="1095907281">
              <w:marLeft w:val="0"/>
              <w:marRight w:val="0"/>
              <w:marTop w:val="0"/>
              <w:marBottom w:val="0"/>
              <w:divBdr>
                <w:top w:val="none" w:sz="0" w:space="0" w:color="auto"/>
                <w:left w:val="none" w:sz="0" w:space="0" w:color="auto"/>
                <w:bottom w:val="none" w:sz="0" w:space="0" w:color="auto"/>
                <w:right w:val="none" w:sz="0" w:space="0" w:color="auto"/>
              </w:divBdr>
              <w:divsChild>
                <w:div w:id="891889842">
                  <w:marLeft w:val="0"/>
                  <w:marRight w:val="0"/>
                  <w:marTop w:val="100"/>
                  <w:marBottom w:val="100"/>
                  <w:divBdr>
                    <w:top w:val="none" w:sz="0" w:space="0" w:color="auto"/>
                    <w:left w:val="none" w:sz="0" w:space="0" w:color="auto"/>
                    <w:bottom w:val="none" w:sz="0" w:space="0" w:color="auto"/>
                    <w:right w:val="none" w:sz="0" w:space="0" w:color="auto"/>
                  </w:divBdr>
                  <w:divsChild>
                    <w:div w:id="1230920108">
                      <w:marLeft w:val="0"/>
                      <w:marRight w:val="0"/>
                      <w:marTop w:val="0"/>
                      <w:marBottom w:val="0"/>
                      <w:divBdr>
                        <w:top w:val="none" w:sz="0" w:space="0" w:color="auto"/>
                        <w:left w:val="none" w:sz="0" w:space="0" w:color="auto"/>
                        <w:bottom w:val="none" w:sz="0" w:space="0" w:color="auto"/>
                        <w:right w:val="none" w:sz="0" w:space="0" w:color="auto"/>
                      </w:divBdr>
                      <w:divsChild>
                        <w:div w:id="979262082">
                          <w:marLeft w:val="0"/>
                          <w:marRight w:val="0"/>
                          <w:marTop w:val="0"/>
                          <w:marBottom w:val="0"/>
                          <w:divBdr>
                            <w:top w:val="none" w:sz="0" w:space="0" w:color="auto"/>
                            <w:left w:val="none" w:sz="0" w:space="0" w:color="auto"/>
                            <w:bottom w:val="none" w:sz="0" w:space="0" w:color="auto"/>
                            <w:right w:val="none" w:sz="0" w:space="0" w:color="auto"/>
                          </w:divBdr>
                          <w:divsChild>
                            <w:div w:id="623076944">
                              <w:marLeft w:val="0"/>
                              <w:marRight w:val="450"/>
                              <w:marTop w:val="0"/>
                              <w:marBottom w:val="0"/>
                              <w:divBdr>
                                <w:top w:val="none" w:sz="0" w:space="0" w:color="auto"/>
                                <w:left w:val="none" w:sz="0" w:space="0" w:color="auto"/>
                                <w:bottom w:val="none" w:sz="0" w:space="0" w:color="auto"/>
                                <w:right w:val="none" w:sz="0" w:space="0" w:color="auto"/>
                              </w:divBdr>
                              <w:divsChild>
                                <w:div w:id="114828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9606471">
      <w:bodyDiv w:val="1"/>
      <w:marLeft w:val="0"/>
      <w:marRight w:val="0"/>
      <w:marTop w:val="0"/>
      <w:marBottom w:val="0"/>
      <w:divBdr>
        <w:top w:val="none" w:sz="0" w:space="0" w:color="auto"/>
        <w:left w:val="none" w:sz="0" w:space="0" w:color="auto"/>
        <w:bottom w:val="none" w:sz="0" w:space="0" w:color="auto"/>
        <w:right w:val="none" w:sz="0" w:space="0" w:color="auto"/>
      </w:divBdr>
      <w:divsChild>
        <w:div w:id="2125423554">
          <w:marLeft w:val="0"/>
          <w:marRight w:val="0"/>
          <w:marTop w:val="0"/>
          <w:marBottom w:val="0"/>
          <w:divBdr>
            <w:top w:val="none" w:sz="0" w:space="0" w:color="auto"/>
            <w:left w:val="none" w:sz="0" w:space="0" w:color="auto"/>
            <w:bottom w:val="none" w:sz="0" w:space="0" w:color="auto"/>
            <w:right w:val="none" w:sz="0" w:space="0" w:color="auto"/>
          </w:divBdr>
          <w:divsChild>
            <w:div w:id="916477824">
              <w:marLeft w:val="0"/>
              <w:marRight w:val="0"/>
              <w:marTop w:val="0"/>
              <w:marBottom w:val="0"/>
              <w:divBdr>
                <w:top w:val="none" w:sz="0" w:space="0" w:color="auto"/>
                <w:left w:val="none" w:sz="0" w:space="0" w:color="auto"/>
                <w:bottom w:val="none" w:sz="0" w:space="0" w:color="auto"/>
                <w:right w:val="none" w:sz="0" w:space="0" w:color="auto"/>
              </w:divBdr>
              <w:divsChild>
                <w:div w:id="1384140467">
                  <w:marLeft w:val="0"/>
                  <w:marRight w:val="0"/>
                  <w:marTop w:val="0"/>
                  <w:marBottom w:val="0"/>
                  <w:divBdr>
                    <w:top w:val="none" w:sz="0" w:space="0" w:color="auto"/>
                    <w:left w:val="none" w:sz="0" w:space="0" w:color="auto"/>
                    <w:bottom w:val="none" w:sz="0" w:space="0" w:color="auto"/>
                    <w:right w:val="none" w:sz="0" w:space="0" w:color="auto"/>
                  </w:divBdr>
                  <w:divsChild>
                    <w:div w:id="1028487068">
                      <w:marLeft w:val="0"/>
                      <w:marRight w:val="0"/>
                      <w:marTop w:val="0"/>
                      <w:marBottom w:val="0"/>
                      <w:divBdr>
                        <w:top w:val="none" w:sz="0" w:space="0" w:color="auto"/>
                        <w:left w:val="none" w:sz="0" w:space="0" w:color="auto"/>
                        <w:bottom w:val="none" w:sz="0" w:space="0" w:color="auto"/>
                        <w:right w:val="none" w:sz="0" w:space="0" w:color="auto"/>
                      </w:divBdr>
                      <w:divsChild>
                        <w:div w:id="1659767860">
                          <w:marLeft w:val="0"/>
                          <w:marRight w:val="0"/>
                          <w:marTop w:val="0"/>
                          <w:marBottom w:val="0"/>
                          <w:divBdr>
                            <w:top w:val="none" w:sz="0" w:space="0" w:color="auto"/>
                            <w:left w:val="none" w:sz="0" w:space="0" w:color="auto"/>
                            <w:bottom w:val="none" w:sz="0" w:space="0" w:color="auto"/>
                            <w:right w:val="none" w:sz="0" w:space="0" w:color="auto"/>
                          </w:divBdr>
                          <w:divsChild>
                            <w:div w:id="279533293">
                              <w:marLeft w:val="0"/>
                              <w:marRight w:val="0"/>
                              <w:marTop w:val="0"/>
                              <w:marBottom w:val="0"/>
                              <w:divBdr>
                                <w:top w:val="none" w:sz="0" w:space="0" w:color="auto"/>
                                <w:left w:val="none" w:sz="0" w:space="0" w:color="auto"/>
                                <w:bottom w:val="none" w:sz="0" w:space="0" w:color="auto"/>
                                <w:right w:val="none" w:sz="0" w:space="0" w:color="auto"/>
                              </w:divBdr>
                              <w:divsChild>
                                <w:div w:id="2118063800">
                                  <w:marLeft w:val="0"/>
                                  <w:marRight w:val="0"/>
                                  <w:marTop w:val="0"/>
                                  <w:marBottom w:val="0"/>
                                  <w:divBdr>
                                    <w:top w:val="none" w:sz="0" w:space="0" w:color="auto"/>
                                    <w:left w:val="none" w:sz="0" w:space="0" w:color="auto"/>
                                    <w:bottom w:val="none" w:sz="0" w:space="0" w:color="auto"/>
                                    <w:right w:val="none" w:sz="0" w:space="0" w:color="auto"/>
                                  </w:divBdr>
                                  <w:divsChild>
                                    <w:div w:id="2006856264">
                                      <w:marLeft w:val="0"/>
                                      <w:marRight w:val="0"/>
                                      <w:marTop w:val="0"/>
                                      <w:marBottom w:val="0"/>
                                      <w:divBdr>
                                        <w:top w:val="none" w:sz="0" w:space="0" w:color="auto"/>
                                        <w:left w:val="none" w:sz="0" w:space="0" w:color="auto"/>
                                        <w:bottom w:val="none" w:sz="0" w:space="0" w:color="auto"/>
                                        <w:right w:val="none" w:sz="0" w:space="0" w:color="auto"/>
                                      </w:divBdr>
                                      <w:divsChild>
                                        <w:div w:id="185022191">
                                          <w:marLeft w:val="0"/>
                                          <w:marRight w:val="0"/>
                                          <w:marTop w:val="0"/>
                                          <w:marBottom w:val="0"/>
                                          <w:divBdr>
                                            <w:top w:val="none" w:sz="0" w:space="0" w:color="auto"/>
                                            <w:left w:val="none" w:sz="0" w:space="0" w:color="auto"/>
                                            <w:bottom w:val="none" w:sz="0" w:space="0" w:color="auto"/>
                                            <w:right w:val="none" w:sz="0" w:space="0" w:color="auto"/>
                                          </w:divBdr>
                                          <w:divsChild>
                                            <w:div w:id="1831166419">
                                              <w:marLeft w:val="0"/>
                                              <w:marRight w:val="0"/>
                                              <w:marTop w:val="0"/>
                                              <w:marBottom w:val="0"/>
                                              <w:divBdr>
                                                <w:top w:val="none" w:sz="0" w:space="0" w:color="auto"/>
                                                <w:left w:val="none" w:sz="0" w:space="0" w:color="auto"/>
                                                <w:bottom w:val="none" w:sz="0" w:space="0" w:color="auto"/>
                                                <w:right w:val="none" w:sz="0" w:space="0" w:color="auto"/>
                                              </w:divBdr>
                                              <w:divsChild>
                                                <w:div w:id="330529036">
                                                  <w:marLeft w:val="0"/>
                                                  <w:marRight w:val="0"/>
                                                  <w:marTop w:val="0"/>
                                                  <w:marBottom w:val="0"/>
                                                  <w:divBdr>
                                                    <w:top w:val="none" w:sz="0" w:space="0" w:color="auto"/>
                                                    <w:left w:val="none" w:sz="0" w:space="0" w:color="auto"/>
                                                    <w:bottom w:val="none" w:sz="0" w:space="0" w:color="auto"/>
                                                    <w:right w:val="none" w:sz="0" w:space="0" w:color="auto"/>
                                                  </w:divBdr>
                                                  <w:divsChild>
                                                    <w:div w:id="1690597989">
                                                      <w:marLeft w:val="0"/>
                                                      <w:marRight w:val="0"/>
                                                      <w:marTop w:val="0"/>
                                                      <w:marBottom w:val="0"/>
                                                      <w:divBdr>
                                                        <w:top w:val="none" w:sz="0" w:space="0" w:color="auto"/>
                                                        <w:left w:val="none" w:sz="0" w:space="0" w:color="auto"/>
                                                        <w:bottom w:val="none" w:sz="0" w:space="0" w:color="auto"/>
                                                        <w:right w:val="none" w:sz="0" w:space="0" w:color="auto"/>
                                                      </w:divBdr>
                                                      <w:divsChild>
                                                        <w:div w:id="781072984">
                                                          <w:marLeft w:val="0"/>
                                                          <w:marRight w:val="0"/>
                                                          <w:marTop w:val="0"/>
                                                          <w:marBottom w:val="0"/>
                                                          <w:divBdr>
                                                            <w:top w:val="none" w:sz="0" w:space="0" w:color="auto"/>
                                                            <w:left w:val="none" w:sz="0" w:space="0" w:color="auto"/>
                                                            <w:bottom w:val="none" w:sz="0" w:space="0" w:color="auto"/>
                                                            <w:right w:val="none" w:sz="0" w:space="0" w:color="auto"/>
                                                          </w:divBdr>
                                                          <w:divsChild>
                                                            <w:div w:id="163513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919268">
      <w:bodyDiv w:val="1"/>
      <w:marLeft w:val="0"/>
      <w:marRight w:val="0"/>
      <w:marTop w:val="0"/>
      <w:marBottom w:val="0"/>
      <w:divBdr>
        <w:top w:val="none" w:sz="0" w:space="0" w:color="auto"/>
        <w:left w:val="none" w:sz="0" w:space="0" w:color="auto"/>
        <w:bottom w:val="none" w:sz="0" w:space="0" w:color="auto"/>
        <w:right w:val="none" w:sz="0" w:space="0" w:color="auto"/>
      </w:divBdr>
      <w:divsChild>
        <w:div w:id="1466196037">
          <w:marLeft w:val="360"/>
          <w:marRight w:val="0"/>
          <w:marTop w:val="200"/>
          <w:marBottom w:val="0"/>
          <w:divBdr>
            <w:top w:val="none" w:sz="0" w:space="0" w:color="auto"/>
            <w:left w:val="none" w:sz="0" w:space="0" w:color="auto"/>
            <w:bottom w:val="none" w:sz="0" w:space="0" w:color="auto"/>
            <w:right w:val="none" w:sz="0" w:space="0" w:color="auto"/>
          </w:divBdr>
        </w:div>
      </w:divsChild>
    </w:div>
    <w:div w:id="1760448081">
      <w:bodyDiv w:val="1"/>
      <w:marLeft w:val="0"/>
      <w:marRight w:val="0"/>
      <w:marTop w:val="0"/>
      <w:marBottom w:val="0"/>
      <w:divBdr>
        <w:top w:val="none" w:sz="0" w:space="0" w:color="auto"/>
        <w:left w:val="none" w:sz="0" w:space="0" w:color="auto"/>
        <w:bottom w:val="none" w:sz="0" w:space="0" w:color="auto"/>
        <w:right w:val="none" w:sz="0" w:space="0" w:color="auto"/>
      </w:divBdr>
      <w:divsChild>
        <w:div w:id="492722628">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xternal_x0020_Contributor xmlns="4ffa91fb-a0ff-4ac5-b2db-65c790d184a4" xsi:nil="true"/>
    <TaxKeywordTaxHTField xmlns="4ffa91fb-a0ff-4ac5-b2db-65c790d184a4">
      <Terms xmlns="http://schemas.microsoft.com/office/infopath/2007/PartnerControls"/>
    </TaxKeywordTaxHTField>
    <Record xmlns="4ffa91fb-a0ff-4ac5-b2db-65c790d184a4">Shared</Record>
    <Rights xmlns="4ffa91fb-a0ff-4ac5-b2db-65c790d184a4" xsi:nil="true"/>
    <e3f09c3df709400db2417a7161762d62 xmlns="22d004a6-2f8d-4a75-9f1d-859e2ae55add">
      <Terms xmlns="http://schemas.microsoft.com/office/infopath/2007/PartnerControls"/>
    </e3f09c3df709400db2417a7161762d62>
    <Document_x0020_Creation_x0020_Date xmlns="4ffa91fb-a0ff-4ac5-b2db-65c790d184a4">2020-05-06T04:00:00+00:00</Document_x0020_Creation_x0020_Date>
    <EPA_x0020_Office xmlns="4ffa91fb-a0ff-4ac5-b2db-65c790d184a4">Not Found!</EPA_x0020_Office>
    <CategoryDescription xmlns="http://schemas.microsoft.com/sharepoint.v3" xsi:nil="true"/>
    <Identifier xmlns="4ffa91fb-a0ff-4ac5-b2db-65c790d184a4" xsi:nil="true"/>
    <_Coverage xmlns="http://schemas.microsoft.com/sharepoint/v3/fields" xsi:nil="true"/>
    <Creator xmlns="4ffa91fb-a0ff-4ac5-b2db-65c790d184a4">
      <UserInfo>
        <DisplayName>Scarlett, Tammy</DisplayName>
        <AccountId>11985</AccountId>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documentManagement>
</p:properties>
</file>

<file path=customXml/item2.xml><?xml version="1.0" encoding="utf-8"?>
<?mso-contentType ?>
<SharedContentType xmlns="Microsoft.SharePoint.Taxonomy.ContentTypeSync" SourceId="29f62856-1543-49d4-a736-4569d363f533"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4745B6F5BA0DB46BA8C1B0146813348" ma:contentTypeVersion="13" ma:contentTypeDescription="Create a new document." ma:contentTypeScope="" ma:versionID="cfb3d423c92464a22bd21d2b735b44c8">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22d004a6-2f8d-4a75-9f1d-859e2ae55add" xmlns:ns6="17622ab0-b98f-4e8e-afef-2c80c1a276fc" targetNamespace="http://schemas.microsoft.com/office/2006/metadata/properties" ma:root="true" ma:fieldsID="46bb81a70bfe4d4a75a0bc27f7930213" ns1:_="" ns2:_="" ns3:_="" ns4:_="" ns5:_="" ns6:_="">
    <xsd:import namespace="http://schemas.microsoft.com/sharepoint/v3"/>
    <xsd:import namespace="4ffa91fb-a0ff-4ac5-b2db-65c790d184a4"/>
    <xsd:import namespace="http://schemas.microsoft.com/sharepoint.v3"/>
    <xsd:import namespace="http://schemas.microsoft.com/sharepoint/v3/fields"/>
    <xsd:import namespace="22d004a6-2f8d-4a75-9f1d-859e2ae55add"/>
    <xsd:import namespace="17622ab0-b98f-4e8e-afef-2c80c1a276fc"/>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5:e3f09c3df709400db2417a7161762d62" minOccurs="0"/>
                <xsd:element ref="ns6:MediaServiceMetadata" minOccurs="0"/>
                <xsd:element ref="ns6:MediaServiceFastMetadata" minOccurs="0"/>
                <xsd:element ref="ns6:MediaServiceDateTaken" minOccurs="0"/>
                <xsd:element ref="ns6:MediaServiceAutoTags" minOccurs="0"/>
                <xsd:element ref="ns6:MediaServiceOCR" minOccurs="0"/>
                <xsd:element ref="ns6:MediaServiceGenerationTime" minOccurs="0"/>
                <xsd:element ref="ns6:MediaServiceEventHashCode"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ma:readOnly="false">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54f485cd-92c0-4abe-a378-745fe4335b12}" ma:internalName="TaxCatchAllLabel" ma:readOnly="true" ma:showField="CatchAllDataLabel" ma:web="22d004a6-2f8d-4a75-9f1d-859e2ae55add">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54f485cd-92c0-4abe-a378-745fe4335b12}" ma:internalName="TaxCatchAll" ma:showField="CatchAllData" ma:web="22d004a6-2f8d-4a75-9f1d-859e2ae55ad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2d004a6-2f8d-4a75-9f1d-859e2ae55add" elementFormDefault="qualified">
    <xsd:import namespace="http://schemas.microsoft.com/office/2006/documentManagement/types"/>
    <xsd:import namespace="http://schemas.microsoft.com/office/infopath/2007/PartnerControls"/>
    <xsd:element name="e3f09c3df709400db2417a7161762d62" ma:index="28" nillable="true" ma:taxonomy="true" ma:internalName="e3f09c3df709400db2417a7161762d62" ma:taxonomyFieldName="EPA_x0020_Subject" ma:displayName="EPA Subject" ma:readOnly="false" ma:default="" ma:fieldId="{e3f09c3d-f709-400d-b241-7a7161762d62}" ma:taxonomyMulti="true" ma:sspId="29f62856-1543-49d4-a736-4569d363f533" ma:termSetId="7a3d4ae0-7e62-45a2-a406-c6a8a6a8eee3" ma:anchorId="00000000-0000-0000-0000-000000000000" ma:open="false" ma:isKeyword="false">
      <xsd:complexType>
        <xsd:sequence>
          <xsd:element ref="pc:Terms" minOccurs="0" maxOccurs="1"/>
        </xsd:sequence>
      </xsd:complexType>
    </xsd:element>
    <xsd:element name="SharedWithUsers" ma:index="3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622ab0-b98f-4e8e-afef-2c80c1a276fc" elementFormDefault="qualified">
    <xsd:import namespace="http://schemas.microsoft.com/office/2006/documentManagement/types"/>
    <xsd:import namespace="http://schemas.microsoft.com/office/infopath/2007/PartnerControls"/>
    <xsd:element name="MediaServiceMetadata" ma:index="29" nillable="true" ma:displayName="MediaServiceMetadata" ma:hidden="true" ma:internalName="MediaServiceMetadata" ma:readOnly="true">
      <xsd:simpleType>
        <xsd:restriction base="dms:Note"/>
      </xsd:simpleType>
    </xsd:element>
    <xsd:element name="MediaServiceFastMetadata" ma:index="30" nillable="true" ma:displayName="MediaServiceFastMetadata" ma:hidden="true" ma:internalName="MediaServiceFastMetadata" ma:readOnly="true">
      <xsd:simpleType>
        <xsd:restriction base="dms:Note"/>
      </xsd:simpleType>
    </xsd:element>
    <xsd:element name="MediaServiceDateTaken" ma:index="31" nillable="true" ma:displayName="MediaServiceDateTaken" ma:hidden="true" ma:internalName="MediaServiceDateTaken" ma:readOnly="true">
      <xsd:simpleType>
        <xsd:restriction base="dms:Text"/>
      </xsd:simpleType>
    </xsd:element>
    <xsd:element name="MediaServiceAutoTags" ma:index="32" nillable="true" ma:displayName="Tags" ma:internalName="MediaServiceAutoTags" ma:readOnly="true">
      <xsd:simpleType>
        <xsd:restriction base="dms:Text"/>
      </xsd:simpleType>
    </xsd:element>
    <xsd:element name="MediaServiceOCR" ma:index="33" nillable="true" ma:displayName="Extracted Text" ma:internalName="MediaServiceOCR" ma:readOnly="true">
      <xsd:simpleType>
        <xsd:restriction base="dms:Note">
          <xsd:maxLength value="255"/>
        </xsd:restriction>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EventHashCode" ma:index="3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AAF493-31A8-43F3-BF85-E8951C512BF8}">
  <ds:schemaRefs>
    <ds:schemaRef ds:uri="http://schemas.microsoft.com/office/2006/metadata/properties"/>
    <ds:schemaRef ds:uri="http://schemas.microsoft.com/office/infopath/2007/PartnerControls"/>
    <ds:schemaRef ds:uri="http://schemas.microsoft.com/sharepoint/v3/fields"/>
    <ds:schemaRef ds:uri="http://schemas.microsoft.com/sharepoint/v3"/>
    <ds:schemaRef ds:uri="4ffa91fb-a0ff-4ac5-b2db-65c790d184a4"/>
    <ds:schemaRef ds:uri="22d004a6-2f8d-4a75-9f1d-859e2ae55add"/>
    <ds:schemaRef ds:uri="http://schemas.microsoft.com/sharepoint.v3"/>
  </ds:schemaRefs>
</ds:datastoreItem>
</file>

<file path=customXml/itemProps2.xml><?xml version="1.0" encoding="utf-8"?>
<ds:datastoreItem xmlns:ds="http://schemas.openxmlformats.org/officeDocument/2006/customXml" ds:itemID="{0994879A-3D22-46AC-B3E9-9E05FEC82324}">
  <ds:schemaRefs>
    <ds:schemaRef ds:uri="Microsoft.SharePoint.Taxonomy.ContentTypeSync"/>
  </ds:schemaRefs>
</ds:datastoreItem>
</file>

<file path=customXml/itemProps3.xml><?xml version="1.0" encoding="utf-8"?>
<ds:datastoreItem xmlns:ds="http://schemas.openxmlformats.org/officeDocument/2006/customXml" ds:itemID="{13EDEB11-F2A7-46CB-A707-34FB05AF689F}">
  <ds:schemaRefs>
    <ds:schemaRef ds:uri="http://schemas.microsoft.com/sharepoint/v3/contenttype/forms"/>
  </ds:schemaRefs>
</ds:datastoreItem>
</file>

<file path=customXml/itemProps4.xml><?xml version="1.0" encoding="utf-8"?>
<ds:datastoreItem xmlns:ds="http://schemas.openxmlformats.org/officeDocument/2006/customXml" ds:itemID="{3953D5B7-766C-4731-B74A-51D438BB41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22d004a6-2f8d-4a75-9f1d-859e2ae55add"/>
    <ds:schemaRef ds:uri="17622ab0-b98f-4e8e-afef-2c80c1a276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2267</Words>
  <Characters>12923</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Garnett, Kim</dc:creator>
  <cp:keywords/>
  <dc:description/>
  <cp:lastModifiedBy>Alan Cimorelli</cp:lastModifiedBy>
  <cp:revision>2</cp:revision>
  <cp:lastPrinted>2020-08-20T21:16:00Z</cp:lastPrinted>
  <dcterms:created xsi:type="dcterms:W3CDTF">2024-08-11T16:49:00Z</dcterms:created>
  <dcterms:modified xsi:type="dcterms:W3CDTF">2024-08-11T16:49:00Z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0x01010094745B6F5BA0DB46BA8C1B0146813348</vt:lpwstr>
  </property>
  <property fmtid="{D5CDD505-2E9C-101B-9397-08002B2CF9AE}" pid="3" name="TaxKeyword">
    <vt:lpwstr/>
  </property>
  <property fmtid="{D5CDD505-2E9C-101B-9397-08002B2CF9AE}" pid="4" name="EPA Subject">
    <vt:lpwstr/>
  </property>
  <property fmtid="{D5CDD505-2E9C-101B-9397-08002B2CF9AE}" pid="5" name="Document Type">
    <vt:lpwstr/>
  </property>
</Properties>
</file>